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83A74" w14:textId="032A6FF9" w:rsidR="006A22D1" w:rsidRDefault="006A22D1" w:rsidP="006A22D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0" w:name="_Toc219741051"/>
      <w:bookmarkStart w:id="1" w:name="_Toc219743665"/>
      <w:r>
        <w:rPr>
          <w:rFonts w:ascii="Times New Roman" w:hAnsi="Times New Roman"/>
          <w:b/>
          <w:bCs/>
          <w:i/>
          <w:iCs/>
          <w:sz w:val="28"/>
          <w:szCs w:val="28"/>
        </w:rPr>
        <w:t>Леонова Татьяна Николаевна,</w:t>
      </w:r>
      <w:r w:rsidRPr="006A22D1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к.п.н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>.</w:t>
      </w:r>
    </w:p>
    <w:p w14:paraId="23473D0C" w14:textId="0954290A" w:rsidR="006A22D1" w:rsidRDefault="006A22D1" w:rsidP="006A22D1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зав. отделом техники и спорта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14:paraId="7EFDC514" w14:textId="440E7894" w:rsidR="006A22D1" w:rsidRDefault="006A22D1" w:rsidP="006A22D1">
      <w:pPr>
        <w:tabs>
          <w:tab w:val="left" w:pos="567"/>
        </w:tabs>
        <w:spacing w:line="240" w:lineRule="auto"/>
        <w:ind w:firstLine="709"/>
        <w:contextualSpacing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ГБУ ДО Дворец детского творчества Петроградского района Санкт-Петербурга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14:paraId="687E9AA8" w14:textId="77777777" w:rsidR="006A22D1" w:rsidRDefault="006A22D1" w:rsidP="006A22D1">
      <w:pPr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4A805B59" w14:textId="77777777" w:rsidR="006A22D1" w:rsidRDefault="006A22D1" w:rsidP="006A2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7552AAE" w14:textId="154A712F" w:rsidR="0096371A" w:rsidRPr="006A22D1" w:rsidRDefault="0096371A" w:rsidP="006A2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371A">
        <w:rPr>
          <w:rFonts w:ascii="Times New Roman" w:eastAsiaTheme="majorEastAsia" w:hAnsi="Times New Roman" w:cs="Times New Roman"/>
          <w:b/>
          <w:bCs/>
          <w:color w:val="000000" w:themeColor="text1"/>
          <w:kern w:val="1"/>
          <w:sz w:val="28"/>
          <w:szCs w:val="28"/>
          <w:lang w:bidi="ru-RU"/>
        </w:rPr>
        <w:t>Результаты исследования личностных особенностей старших подростков, обучающихся по программам дополнительного образования художественной</w:t>
      </w:r>
      <w:r w:rsidR="006A22D1">
        <w:rPr>
          <w:rFonts w:ascii="Times New Roman" w:eastAsiaTheme="majorEastAsia" w:hAnsi="Times New Roman" w:cs="Times New Roman"/>
          <w:b/>
          <w:bCs/>
          <w:color w:val="000000" w:themeColor="text1"/>
          <w:kern w:val="1"/>
          <w:sz w:val="28"/>
          <w:szCs w:val="28"/>
          <w:lang w:bidi="ru-RU"/>
        </w:rPr>
        <w:t xml:space="preserve"> и туристско-</w:t>
      </w:r>
      <w:bookmarkEnd w:id="0"/>
      <w:bookmarkEnd w:id="1"/>
      <w:r w:rsidR="006A22D1">
        <w:rPr>
          <w:rFonts w:ascii="Times New Roman" w:eastAsiaTheme="majorEastAsia" w:hAnsi="Times New Roman" w:cs="Times New Roman"/>
          <w:b/>
          <w:bCs/>
          <w:color w:val="000000" w:themeColor="text1"/>
          <w:kern w:val="1"/>
          <w:sz w:val="28"/>
          <w:szCs w:val="28"/>
          <w:lang w:bidi="ru-RU"/>
        </w:rPr>
        <w:t xml:space="preserve">краеведческой </w:t>
      </w:r>
      <w:r w:rsidR="006A22D1" w:rsidRPr="0096371A">
        <w:rPr>
          <w:rFonts w:ascii="Times New Roman" w:eastAsiaTheme="majorEastAsia" w:hAnsi="Times New Roman" w:cs="Times New Roman"/>
          <w:b/>
          <w:bCs/>
          <w:color w:val="000000" w:themeColor="text1"/>
          <w:kern w:val="1"/>
          <w:sz w:val="28"/>
          <w:szCs w:val="28"/>
          <w:lang w:bidi="ru-RU"/>
        </w:rPr>
        <w:t>направленност</w:t>
      </w:r>
      <w:r w:rsidR="006A22D1">
        <w:rPr>
          <w:rFonts w:ascii="Times New Roman" w:eastAsiaTheme="majorEastAsia" w:hAnsi="Times New Roman" w:cs="Times New Roman"/>
          <w:b/>
          <w:bCs/>
          <w:color w:val="000000" w:themeColor="text1"/>
          <w:kern w:val="1"/>
          <w:sz w:val="28"/>
          <w:szCs w:val="28"/>
          <w:lang w:bidi="ru-RU"/>
        </w:rPr>
        <w:t>ям</w:t>
      </w:r>
    </w:p>
    <w:p w14:paraId="0821C84E" w14:textId="77777777" w:rsidR="006A22D1" w:rsidRDefault="006A22D1" w:rsidP="006A22D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sz w:val="28"/>
          <w:szCs w:val="28"/>
        </w:rPr>
      </w:pPr>
    </w:p>
    <w:p w14:paraId="15F6CA45" w14:textId="37BA7B87" w:rsidR="006A22D1" w:rsidRPr="006A22D1" w:rsidRDefault="006A22D1" w:rsidP="006A2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Аннотация:</w:t>
      </w:r>
      <w:r>
        <w:rPr>
          <w:rFonts w:ascii="Times New Roman" w:hAnsi="Times New Roman"/>
          <w:sz w:val="28"/>
          <w:szCs w:val="28"/>
        </w:rPr>
        <w:t xml:space="preserve"> статья посвящена р</w:t>
      </w:r>
      <w:r w:rsidRPr="006A22D1">
        <w:rPr>
          <w:rFonts w:ascii="Times New Roman" w:hAnsi="Times New Roman"/>
          <w:sz w:val="28"/>
          <w:szCs w:val="28"/>
        </w:rPr>
        <w:t>езультат</w:t>
      </w:r>
      <w:r>
        <w:rPr>
          <w:rFonts w:ascii="Times New Roman" w:hAnsi="Times New Roman"/>
          <w:sz w:val="28"/>
          <w:szCs w:val="28"/>
        </w:rPr>
        <w:t>ом</w:t>
      </w:r>
      <w:r w:rsidRPr="006A22D1">
        <w:rPr>
          <w:rFonts w:ascii="Times New Roman" w:hAnsi="Times New Roman"/>
          <w:sz w:val="28"/>
          <w:szCs w:val="28"/>
        </w:rPr>
        <w:t xml:space="preserve"> исследования личностных особенностей старших подростков, обучающихся по программам дополнительного образования художественной</w:t>
      </w:r>
      <w:r>
        <w:rPr>
          <w:rFonts w:ascii="Times New Roman" w:hAnsi="Times New Roman"/>
          <w:sz w:val="28"/>
          <w:szCs w:val="28"/>
        </w:rPr>
        <w:t xml:space="preserve"> и туристско-краеведческой</w:t>
      </w:r>
      <w:r w:rsidRPr="006A22D1">
        <w:rPr>
          <w:rFonts w:ascii="Times New Roman" w:hAnsi="Times New Roman"/>
          <w:sz w:val="28"/>
          <w:szCs w:val="28"/>
        </w:rPr>
        <w:t xml:space="preserve"> направленност</w:t>
      </w:r>
      <w:r>
        <w:rPr>
          <w:rFonts w:ascii="Times New Roman" w:hAnsi="Times New Roman"/>
          <w:sz w:val="28"/>
          <w:szCs w:val="28"/>
        </w:rPr>
        <w:t>ям.</w:t>
      </w:r>
    </w:p>
    <w:p w14:paraId="59486CE7" w14:textId="77777777" w:rsidR="006A22D1" w:rsidRDefault="006A22D1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</w:p>
    <w:p w14:paraId="09532C6E" w14:textId="1A982176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Рассмотрим результаты исследования </w:t>
      </w:r>
      <w:bookmarkStart w:id="2" w:name="_Hlk219374795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личностных особенностей старших подростков, обучающихся по программам дополнительного образования </w:t>
      </w:r>
      <w:bookmarkEnd w:id="2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художественной направленности, полученные с применением</w:t>
      </w:r>
      <w:r w:rsidRPr="0096371A">
        <w:rPr>
          <w:rFonts w:ascii="Calibri" w:eastAsia="Calibri" w:hAnsi="Calibri" w:cs="Times New Roman"/>
          <w:kern w:val="1"/>
        </w:rPr>
        <w:t xml:space="preserve">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личностного опросника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Айзенка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(рис. 3.1.1.).</w:t>
      </w:r>
    </w:p>
    <w:p w14:paraId="56DC3BEB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highlight w:val="yellow"/>
          <w:lang w:bidi="ru-RU"/>
        </w:rPr>
      </w:pPr>
      <w:r w:rsidRPr="0096371A">
        <w:rPr>
          <w:rFonts w:ascii="Calibri" w:eastAsia="Calibri" w:hAnsi="Calibri" w:cs="Times New Roman"/>
          <w:noProof/>
          <w:kern w:val="1"/>
          <w:lang w:eastAsia="ru-RU"/>
        </w:rPr>
        <w:drawing>
          <wp:inline distT="0" distB="0" distL="0" distR="0" wp14:anchorId="3CDB7415" wp14:editId="4A0121BF">
            <wp:extent cx="4089901" cy="2302577"/>
            <wp:effectExtent l="0" t="0" r="6350" b="2540"/>
            <wp:docPr id="5" name="Диаграмма 5">
              <a:extLst xmlns:a="http://schemas.openxmlformats.org/drawingml/2006/main">
                <a:ext uri="{FF2B5EF4-FFF2-40B4-BE49-F238E27FC236}">
                  <a16:creationId xmlns:a16="http://schemas.microsoft.com/office/drawing/2014/main" id="{DE6AF87E-4778-492F-8F7B-BF52DCAC66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9F39CE8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highlight w:val="yellow"/>
          <w:lang w:bidi="ru-RU"/>
        </w:rPr>
      </w:pPr>
    </w:p>
    <w:p w14:paraId="71D757C1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Рисунок 3.1.1. Средние значения по показателям личностного опросника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Айзенка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у старших подростков, обучающихся по программам дополнительного образования художественной направленности</w:t>
      </w:r>
    </w:p>
    <w:p w14:paraId="6D4E8165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</w:p>
    <w:p w14:paraId="77C6EA50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bookmarkStart w:id="3" w:name="_Hlk219718652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Результаты исследования подростков, обучающихся по программам дополнительного образования художественной направленности (рис. 3.1.1.) свидетельствуют о сочетании умеренной экстраверсии (14,4) и высокой эмоциональной неустойчивости (17,8). </w:t>
      </w:r>
    </w:p>
    <w:bookmarkEnd w:id="3"/>
    <w:p w14:paraId="2517EB30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lastRenderedPageBreak/>
        <w:t>Данная комбинация соответствует холерическому типу темперамента и в контексте художественного направления может проявляться в следующих особенностях:</w:t>
      </w:r>
    </w:p>
    <w:p w14:paraId="21A6481D" w14:textId="77777777" w:rsidR="0096371A" w:rsidRPr="0096371A" w:rsidRDefault="0096371A" w:rsidP="0096371A">
      <w:pPr>
        <w:numPr>
          <w:ilvl w:val="0"/>
          <w:numId w:val="12"/>
        </w:numPr>
        <w:spacing w:after="0" w:line="36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bidi="ru-RU"/>
        </w:rPr>
      </w:pPr>
      <w:r w:rsidRPr="0096371A">
        <w:rPr>
          <w:rFonts w:ascii="Times New Roman" w:hAnsi="Times New Roman"/>
          <w:sz w:val="28"/>
          <w:szCs w:val="28"/>
          <w:lang w:bidi="ru-RU"/>
        </w:rPr>
        <w:t xml:space="preserve">Эмоциональная выразительность и восприимчивость: высокий </w:t>
      </w:r>
      <w:proofErr w:type="spellStart"/>
      <w:r w:rsidRPr="0096371A">
        <w:rPr>
          <w:rFonts w:ascii="Times New Roman" w:hAnsi="Times New Roman"/>
          <w:sz w:val="28"/>
          <w:szCs w:val="28"/>
          <w:lang w:bidi="ru-RU"/>
        </w:rPr>
        <w:t>нейротизм</w:t>
      </w:r>
      <w:proofErr w:type="spellEnd"/>
      <w:r w:rsidRPr="0096371A">
        <w:rPr>
          <w:rFonts w:ascii="Times New Roman" w:hAnsi="Times New Roman"/>
          <w:sz w:val="28"/>
          <w:szCs w:val="28"/>
          <w:lang w:bidi="ru-RU"/>
        </w:rPr>
        <w:t xml:space="preserve"> указывает на яркую эмоциональную реактивность, глубокое переживание впечатлений, что является ресурсом для творческого самовыражения в искусстве.</w:t>
      </w:r>
    </w:p>
    <w:p w14:paraId="03293271" w14:textId="77777777" w:rsidR="0096371A" w:rsidRPr="0096371A" w:rsidRDefault="0096371A" w:rsidP="0096371A">
      <w:pPr>
        <w:numPr>
          <w:ilvl w:val="0"/>
          <w:numId w:val="12"/>
        </w:numPr>
        <w:spacing w:after="0" w:line="36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bidi="ru-RU"/>
        </w:rPr>
      </w:pPr>
      <w:r w:rsidRPr="0096371A">
        <w:rPr>
          <w:rFonts w:ascii="Times New Roman" w:hAnsi="Times New Roman"/>
          <w:sz w:val="28"/>
          <w:szCs w:val="28"/>
          <w:lang w:bidi="ru-RU"/>
        </w:rPr>
        <w:t xml:space="preserve">Активная социальная направленность: умеренная экстраверсия обеспечивает потребность в общении и зрительской реакции, способность к совместной работе в коллективе, но без доминирования, что важно для групповых занятий.  </w:t>
      </w:r>
    </w:p>
    <w:p w14:paraId="5E80CB7A" w14:textId="77777777" w:rsidR="0096371A" w:rsidRPr="0096371A" w:rsidRDefault="0096371A" w:rsidP="0096371A">
      <w:pPr>
        <w:numPr>
          <w:ilvl w:val="0"/>
          <w:numId w:val="12"/>
        </w:numPr>
        <w:spacing w:after="0" w:line="360" w:lineRule="auto"/>
        <w:ind w:firstLine="720"/>
        <w:contextualSpacing/>
        <w:jc w:val="both"/>
        <w:rPr>
          <w:rFonts w:ascii="Times New Roman" w:hAnsi="Times New Roman"/>
          <w:sz w:val="28"/>
          <w:szCs w:val="28"/>
          <w:lang w:bidi="ru-RU"/>
        </w:rPr>
      </w:pPr>
      <w:r w:rsidRPr="0096371A">
        <w:rPr>
          <w:rFonts w:ascii="Times New Roman" w:hAnsi="Times New Roman"/>
          <w:sz w:val="28"/>
          <w:szCs w:val="28"/>
          <w:lang w:bidi="ru-RU"/>
        </w:rPr>
        <w:t>Импульсивность и энергия: профиль предполагает высокий энергетический потенциал, увлечённость процессом, склонность к спонтанным творческим решениям, но также возможную неустойчивость внимания и чувствительность к критике.</w:t>
      </w:r>
    </w:p>
    <w:p w14:paraId="0E0AEA88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Рассмотрим результаты по тесту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>Кеттелла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 (модификация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>Л.Я.Ясюковой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>). </w:t>
      </w:r>
    </w:p>
    <w:p w14:paraId="53D41A67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bookmarkStart w:id="4" w:name="_Hlk219718347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На рис. 3.1.2. графически представлены средние значения полученных </w:t>
      </w:r>
      <w:r w:rsidRPr="0096371A">
        <w:rPr>
          <w:rFonts w:ascii="Times New Roman" w:eastAsia="Calibri" w:hAnsi="Times New Roman" w:cs="Times New Roman"/>
          <w:strike/>
          <w:kern w:val="1"/>
          <w:sz w:val="28"/>
          <w:szCs w:val="28"/>
          <w:lang w:bidi="ru-RU"/>
        </w:rPr>
        <w:t xml:space="preserve">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результатов по каждому показателю личностных особенностей старших подростков, </w:t>
      </w:r>
      <w:bookmarkEnd w:id="4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обучающихся по программам дополнительного образования художественной направленности.</w:t>
      </w:r>
    </w:p>
    <w:p w14:paraId="0B05C7B3" w14:textId="77777777" w:rsidR="0096371A" w:rsidRPr="0096371A" w:rsidRDefault="0096371A" w:rsidP="0096371A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 wp14:anchorId="2878673E" wp14:editId="2E1D7A9C">
            <wp:extent cx="4895850" cy="2047875"/>
            <wp:effectExtent l="0" t="0" r="0" b="9525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7CACF2D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</w:rPr>
      </w:pPr>
      <w:bookmarkStart w:id="5" w:name="_Hlk219718384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Рисунок 3.1.2. Средние значения по факторам теста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>Кеттелла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 </w:t>
      </w:r>
    </w:p>
    <w:p w14:paraId="3A7AF78B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(модификация Л.Я.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>Ясюковой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)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старших подростков, обучающихся по программам дополнительного образования художественной направленности</w:t>
      </w:r>
    </w:p>
    <w:bookmarkEnd w:id="5"/>
    <w:p w14:paraId="3647B689" w14:textId="77777777" w:rsidR="006A22D1" w:rsidRDefault="006A22D1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</w:p>
    <w:p w14:paraId="1A7775A0" w14:textId="180FEEC5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Из рисунка 3.1.2. видно, что по показателю А (замкнутость – открытость) преобладает фактор открытости. Это свидетельствует о выраженной открытости подростков и стремлении к взаимодействию, готовности к новому опыту, а также склонности свободно выражать свои мысли и чувства. Открытость часто связана с творческой активностью и коммуникативной гибкостью, что закономерно для подростков, вовлеченных в художественную деятельность.</w:t>
      </w:r>
    </w:p>
    <w:p w14:paraId="73E844B4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С (эмоциональная неустойчивость – стабильность) преобладает фактор эмоциональной стабильности. Это свидетельствует о выраженном самоконтроле, выдержке и способности сохранять внутреннее равновесие при стрессовых ситуациях. Для подростков это положительная характеристика, отражающая зрелость эмоциональной сферы.</w:t>
      </w:r>
    </w:p>
    <w:p w14:paraId="30A09578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I (твердость – чувственность) преобладает фактор чувственности. Такие подростки обладают развитой эмпатией, восприимчивы к эмоциональным оттенкам, тонко чувствуют настроение других людей, что способствует их успеху в художественном творчестве.</w:t>
      </w:r>
    </w:p>
    <w:p w14:paraId="1B92DB9C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F (озабоченность – беспечность) преобладает фактор беспечности. Подростки, характеризующиеся этим полюсом, часто проявляют оптимизм, легкость в общении и склонность не зацикливаться на проблемах. Однако чрезмерная беспечность может сопровождаться недостаточной ответственностью и поверхностным отношением к делам.</w:t>
      </w:r>
    </w:p>
    <w:p w14:paraId="6BFFC04B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L (доверчивость – подозрительность) преобладает фактор подозрительности. Это может свидетельствовать о настороженности, критическом восприятии окружающих и стремлении к самозащите. В подростковом возрасте подобное сочетание часто связано с формированием рефлексии и осмыслением межличностных отношений.</w:t>
      </w:r>
    </w:p>
    <w:p w14:paraId="4D80E82B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По показателю М (практичность – </w:t>
      </w:r>
      <w:bookmarkStart w:id="6" w:name="_Hlk219390831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мечтательность) преобладает фактор</w:t>
      </w:r>
      <w:bookmarkEnd w:id="6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мечтательности. Художественно ориентированные подростки склонны к богатому воображению, фантазии, интуитивному восприятию, что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lastRenderedPageBreak/>
        <w:t>способствует творческому самовыражению, но иногда мешает рациональной оценке действительности.</w:t>
      </w:r>
    </w:p>
    <w:p w14:paraId="65579B40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N (простота – утонченность) преобладает фактор утонченности, что говорит о развитом чувстве вкуса, наблюдательности и способности воспринимать сложные эмоциональные и эстетические нюансы. Эта черта характерна для личностей с выраженной художественной направленностью.</w:t>
      </w:r>
    </w:p>
    <w:p w14:paraId="6CEBDA16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Q3 (индифферентность – самоконтроль) преобладает фактор самоконтроля, что говорит о дисциплинированности, осознанности и умении регулировать собственные проявления. Такие качества особенно полезны при участии в конкурсах и выступлениях.</w:t>
      </w:r>
    </w:p>
    <w:p w14:paraId="2F1A7727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Q4 (внутренняя расслабленность – напряженность) преобладает фактор внутренней расслабленности, что говорит о психологическом комфорте и отсутствии выраженного внутреннего напряжения. Подростки, демонстрирующие это качество, чаще спокойны и уверены в себе при взаимодействии с окружающими.</w:t>
      </w:r>
    </w:p>
    <w:p w14:paraId="2559E212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bookmarkStart w:id="7" w:name="_Hlk219390992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Оценки соответствуют среднему уровню выраженности показателей следующих факторов: </w:t>
      </w:r>
      <w:bookmarkEnd w:id="7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В (ограниченное – гибкое мышление), Е (податливость – независимость), G (беспринципность – сознательность), Н (застенчивость – смелость)</w:t>
      </w:r>
      <w:proofErr w:type="gram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, О</w:t>
      </w:r>
      <w:proofErr w:type="gram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(самоуверенность – чувство вины), Q1 (консерватизм – радикализм), Q2 (зависимость от группы – самостоятельность). </w:t>
      </w:r>
    </w:p>
    <w:p w14:paraId="04428A49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На основе комплексной диагностики (опросники Г.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Айзенка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и Р.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Кеттелла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-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Ясюковой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) создан совокупный психологический портрет </w:t>
      </w:r>
      <w:bookmarkStart w:id="8" w:name="_Hlk219477665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группы старших подростков, обучающихся по программам дополнительного образования художественной направленности: это личности эмоционально-экспрессивные, утончённо-восприимчивые и внутренне противоречивые. </w:t>
      </w:r>
    </w:p>
    <w:p w14:paraId="07BFB969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Они энергичные и общительные, но при этом ранимые и погружённые в мир собственных образов (мечтательность, утончённость). Их ведущими мотивами являются самовыражение и поиск эмоционально насыщенных впечатлений (открытость, чувствительность). Однако их творческая энергия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lastRenderedPageBreak/>
        <w:t xml:space="preserve">часто сопровождается импульсивностью, беспечностью в быту и повышенной чувствительностью к оценке (подозрительность). </w:t>
      </w:r>
    </w:p>
    <w:p w14:paraId="569FC775" w14:textId="297ED355" w:rsidR="0096371A" w:rsidRPr="006A22D1" w:rsidRDefault="0096371A" w:rsidP="006A22D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Ключевой особенностью данной группы является сочетание высокого самоконтроля в творческой деятельности с общей внутренней расслабленностью, что указывает на избирательную дисциплину, направленную исключительно на сферу их художественных интересов.  </w:t>
      </w:r>
      <w:bookmarkEnd w:id="8"/>
    </w:p>
    <w:p w14:paraId="4AB3AF84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Рассмотрим результаты исследования личностных особенностей старших подростков, обучающихся по программам дополнительного образования туристско-краеведческой направленности, полученные с применением</w:t>
      </w:r>
      <w:r w:rsidRPr="0096371A">
        <w:rPr>
          <w:rFonts w:ascii="Calibri" w:eastAsia="Calibri" w:hAnsi="Calibri" w:cs="Times New Roman"/>
          <w:kern w:val="1"/>
        </w:rPr>
        <w:t xml:space="preserve">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личностного опросника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Айзенка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(рис. 3.2.1).</w:t>
      </w:r>
    </w:p>
    <w:p w14:paraId="6A6136E3" w14:textId="77777777" w:rsidR="0096371A" w:rsidRPr="0096371A" w:rsidRDefault="0096371A" w:rsidP="0096371A">
      <w:pPr>
        <w:spacing w:after="0" w:line="360" w:lineRule="auto"/>
        <w:jc w:val="center"/>
        <w:rPr>
          <w:rFonts w:ascii="Times New Roman" w:eastAsia="Calibri" w:hAnsi="Times New Roman" w:cs="Times New Roman"/>
          <w:color w:val="FF0000"/>
          <w:kern w:val="1"/>
          <w:sz w:val="28"/>
          <w:szCs w:val="28"/>
          <w:lang w:bidi="ru-RU"/>
        </w:rPr>
      </w:pPr>
    </w:p>
    <w:p w14:paraId="2E839DCC" w14:textId="77777777" w:rsidR="0096371A" w:rsidRPr="0096371A" w:rsidRDefault="0096371A" w:rsidP="0096371A">
      <w:pPr>
        <w:spacing w:after="0" w:line="360" w:lineRule="auto"/>
        <w:jc w:val="center"/>
        <w:rPr>
          <w:rFonts w:ascii="Times New Roman" w:eastAsia="Calibri" w:hAnsi="Times New Roman" w:cs="Times New Roman"/>
          <w:color w:val="FF0000"/>
          <w:kern w:val="1"/>
          <w:sz w:val="28"/>
          <w:szCs w:val="28"/>
          <w:lang w:bidi="ru-RU"/>
        </w:rPr>
      </w:pPr>
      <w:r w:rsidRPr="0096371A">
        <w:rPr>
          <w:rFonts w:ascii="Calibri" w:eastAsia="Calibri" w:hAnsi="Calibri" w:cs="Times New Roman"/>
          <w:noProof/>
          <w:color w:val="FF0000"/>
          <w:kern w:val="1"/>
          <w:lang w:eastAsia="ru-RU"/>
        </w:rPr>
        <w:drawing>
          <wp:inline distT="0" distB="0" distL="0" distR="0" wp14:anchorId="3BF57848" wp14:editId="7645F5E9">
            <wp:extent cx="5314950" cy="2133600"/>
            <wp:effectExtent l="0" t="0" r="0" b="0"/>
            <wp:docPr id="7" name="Диаграмма 7">
              <a:extLst xmlns:a="http://schemas.openxmlformats.org/drawingml/2006/main">
                <a:ext uri="{FF2B5EF4-FFF2-40B4-BE49-F238E27FC236}">
                  <a16:creationId xmlns:a16="http://schemas.microsoft.com/office/drawing/2014/main" id="{9C5AF61A-29FA-450C-83DE-2CF80EF24B3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A497434" w14:textId="77777777" w:rsidR="0096371A" w:rsidRPr="0096371A" w:rsidRDefault="0096371A" w:rsidP="0096371A">
      <w:pPr>
        <w:spacing w:after="0" w:line="360" w:lineRule="auto"/>
        <w:jc w:val="center"/>
        <w:rPr>
          <w:rFonts w:ascii="Times New Roman" w:eastAsia="Calibri" w:hAnsi="Times New Roman" w:cs="Times New Roman"/>
          <w:color w:val="FF0000"/>
          <w:kern w:val="1"/>
          <w:sz w:val="28"/>
          <w:szCs w:val="28"/>
          <w:lang w:bidi="ru-RU"/>
        </w:rPr>
      </w:pPr>
    </w:p>
    <w:p w14:paraId="3EFBA13E" w14:textId="77777777" w:rsidR="0096371A" w:rsidRPr="0096371A" w:rsidRDefault="0096371A" w:rsidP="0096371A">
      <w:pPr>
        <w:spacing w:after="0" w:line="36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Рисунок 3.2.1. – Средние значения полученных данных по каждому показателю</w:t>
      </w:r>
      <w:r w:rsidRPr="0096371A">
        <w:rPr>
          <w:rFonts w:ascii="Calibri" w:eastAsia="Calibri" w:hAnsi="Calibri" w:cs="Times New Roman"/>
          <w:kern w:val="1"/>
        </w:rPr>
        <w:t xml:space="preserve">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личностного опросника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Айзенка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у старших подростков, обучающихся по программам дополнительного образования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туристко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-краеведческой направленности</w:t>
      </w:r>
    </w:p>
    <w:p w14:paraId="5665A3C2" w14:textId="77777777" w:rsidR="0096371A" w:rsidRPr="0096371A" w:rsidRDefault="0096371A" w:rsidP="0096371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Данные старших подростков, обучающихся по программам дополнительного образования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туристко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-краеведческой направленности         </w:t>
      </w:r>
      <w:proofErr w:type="gram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  (</w:t>
      </w:r>
      <w:proofErr w:type="gram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рис. 3.2.1) показывают средние значения показателя умеренной экстраверсии (16,9) и средней эмоциональной неустойчивости (13,1).</w:t>
      </w:r>
    </w:p>
    <w:p w14:paraId="14483A52" w14:textId="77777777" w:rsidR="0096371A" w:rsidRPr="0096371A" w:rsidRDefault="0096371A" w:rsidP="0096371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Данное сочетание в классификации соответствует сангвиническому типу темперамента. Это указывает на хорошую адаптивность, эмоциональную устойчивость и социальную гибкость, что является оптимальной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lastRenderedPageBreak/>
        <w:t xml:space="preserve">психологической основой для деятельности, связанной с походами, ориентированием, работой в команде и преодолением умеренных внешних трудностей. </w:t>
      </w:r>
    </w:p>
    <w:p w14:paraId="31F22465" w14:textId="77777777" w:rsidR="0096371A" w:rsidRPr="0096371A" w:rsidRDefault="0096371A" w:rsidP="0096371A">
      <w:pPr>
        <w:spacing w:after="0" w:line="36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Ключевые особенности данной группы, вытекающие из результатов:</w:t>
      </w:r>
    </w:p>
    <w:p w14:paraId="316B10E8" w14:textId="77777777" w:rsidR="0096371A" w:rsidRPr="0096371A" w:rsidRDefault="0096371A" w:rsidP="0096371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bidi="ru-RU"/>
        </w:rPr>
      </w:pPr>
      <w:r w:rsidRPr="0096371A">
        <w:rPr>
          <w:rFonts w:ascii="Times New Roman" w:hAnsi="Times New Roman"/>
          <w:sz w:val="28"/>
          <w:szCs w:val="28"/>
          <w:lang w:bidi="ru-RU"/>
        </w:rPr>
        <w:t xml:space="preserve">Эмоциональная стабильность и стрессоустойчивость: Средний (умеренный) уровень </w:t>
      </w:r>
      <w:proofErr w:type="spellStart"/>
      <w:r w:rsidRPr="0096371A">
        <w:rPr>
          <w:rFonts w:ascii="Times New Roman" w:hAnsi="Times New Roman"/>
          <w:sz w:val="28"/>
          <w:szCs w:val="28"/>
          <w:lang w:bidi="ru-RU"/>
        </w:rPr>
        <w:t>нейротизма</w:t>
      </w:r>
      <w:proofErr w:type="spellEnd"/>
      <w:r w:rsidRPr="0096371A">
        <w:rPr>
          <w:rFonts w:ascii="Times New Roman" w:hAnsi="Times New Roman"/>
          <w:sz w:val="28"/>
          <w:szCs w:val="28"/>
          <w:lang w:bidi="ru-RU"/>
        </w:rPr>
        <w:t xml:space="preserve"> свидетельствует об уравновешенности, способности сохранять спокойствие и ясность мышления в непривычных условиях (что критично в походе, при ориентировании). Эмоциональные реакции предсказуемы и адекватны ситуации.</w:t>
      </w:r>
    </w:p>
    <w:p w14:paraId="7374626E" w14:textId="77777777" w:rsidR="0096371A" w:rsidRPr="0096371A" w:rsidRDefault="0096371A" w:rsidP="0096371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bidi="ru-RU"/>
        </w:rPr>
      </w:pPr>
      <w:r w:rsidRPr="0096371A">
        <w:rPr>
          <w:rFonts w:ascii="Times New Roman" w:hAnsi="Times New Roman"/>
          <w:sz w:val="28"/>
          <w:szCs w:val="28"/>
          <w:lang w:bidi="ru-RU"/>
        </w:rPr>
        <w:t>Социальная гибкость и прагматизм: умеренная экстраверсия означает гибкость в общении. Эти подростки не испытывают выраженного дискомфорта ни в коллективе, ни наедине с собой. Они способны к эффективному деловому сотрудничеству в команде, но без выраженной демонстративности. Их общение часто носит практико-ориентированный характер.</w:t>
      </w:r>
    </w:p>
    <w:p w14:paraId="52F1011C" w14:textId="77777777" w:rsidR="0096371A" w:rsidRPr="0096371A" w:rsidRDefault="0096371A" w:rsidP="0096371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bidi="ru-RU"/>
        </w:rPr>
      </w:pPr>
      <w:r w:rsidRPr="0096371A">
        <w:rPr>
          <w:rFonts w:ascii="Times New Roman" w:hAnsi="Times New Roman"/>
          <w:sz w:val="28"/>
          <w:szCs w:val="28"/>
          <w:lang w:bidi="ru-RU"/>
        </w:rPr>
        <w:t>Ориентация на реальность и результат: преобладание реалистичного восприятия, ориентацию на конкретные задачи и объективные результаты (пройти маршрут, собрать материал, разбить лагерь).</w:t>
      </w:r>
    </w:p>
    <w:p w14:paraId="02C45F6D" w14:textId="77777777" w:rsidR="0096371A" w:rsidRPr="0096371A" w:rsidRDefault="0096371A" w:rsidP="0096371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bidi="ru-RU"/>
        </w:rPr>
      </w:pPr>
      <w:r w:rsidRPr="0096371A">
        <w:rPr>
          <w:rFonts w:ascii="Times New Roman" w:hAnsi="Times New Roman"/>
          <w:sz w:val="28"/>
          <w:szCs w:val="28"/>
          <w:lang w:bidi="ru-RU"/>
        </w:rPr>
        <w:t>Адаптивность как базовая черта: комбинация средних значений говорит о высокой пластичности нервной системы и общей хорошей адаптации к изменяющимся условиям среды — ключевом качестве для полевой деятельности.</w:t>
      </w:r>
    </w:p>
    <w:p w14:paraId="428D7A51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Рассмотрим результаты исследования личностных особенностей старших подростков, обучающихся по программам дополнительного образования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туристко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-краеведческой направленности, проведенного с использованием теста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Кеттелла-Ясюковой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.</w:t>
      </w:r>
    </w:p>
    <w:p w14:paraId="489A453A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 На рис. 3.2.2. графически представлены средние значения полученных данных по каждому показателю личностных особенностей старших подростков, обучающихся по программам дополнительного образования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туристко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-краеведческой направленности.</w:t>
      </w:r>
    </w:p>
    <w:p w14:paraId="615E9DB5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bookmarkStart w:id="9" w:name="_Hlk219374809"/>
      <w:r w:rsidRPr="0096371A">
        <w:rPr>
          <w:rFonts w:ascii="Calibri" w:eastAsia="Calibri" w:hAnsi="Calibri" w:cs="Times New Roman"/>
          <w:noProof/>
          <w:kern w:val="1"/>
          <w:lang w:eastAsia="ru-RU"/>
        </w:rPr>
        <w:lastRenderedPageBreak/>
        <w:t xml:space="preserve">  </w:t>
      </w:r>
    </w:p>
    <w:bookmarkEnd w:id="9"/>
    <w:p w14:paraId="05D50837" w14:textId="77777777" w:rsidR="0096371A" w:rsidRPr="0096371A" w:rsidRDefault="0096371A" w:rsidP="0096371A">
      <w:pPr>
        <w:spacing w:after="0" w:line="360" w:lineRule="auto"/>
        <w:ind w:firstLine="142"/>
        <w:jc w:val="center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 wp14:anchorId="48D5E840" wp14:editId="3D8E52EC">
            <wp:extent cx="5353050" cy="196215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8A8E931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Рисунок 3.2.2. Средние значения по факторам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теста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>Кеттелла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 </w:t>
      </w:r>
    </w:p>
    <w:p w14:paraId="6306D404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(модификация Л.Я. </w:t>
      </w:r>
      <w:proofErr w:type="spellStart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>Ясюковой</w:t>
      </w:r>
      <w:proofErr w:type="spellEnd"/>
      <w:r w:rsidRPr="0096371A">
        <w:rPr>
          <w:rFonts w:ascii="Times New Roman" w:eastAsia="Calibri" w:hAnsi="Times New Roman" w:cs="Times New Roman"/>
          <w:kern w:val="1"/>
          <w:sz w:val="28"/>
          <w:szCs w:val="28"/>
        </w:rPr>
        <w:t xml:space="preserve">) </w:t>
      </w: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старших подростков, обучающихся по программам дополнительного образования   туристско-краеведческой направленности</w:t>
      </w:r>
    </w:p>
    <w:p w14:paraId="180087C7" w14:textId="77777777" w:rsidR="0096371A" w:rsidRPr="0096371A" w:rsidRDefault="0096371A" w:rsidP="0096371A">
      <w:pPr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</w:p>
    <w:p w14:paraId="6765AD77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По показателю Е (податливость – независимость) </w:t>
      </w:r>
      <w:bookmarkStart w:id="10" w:name="_Hlk219390877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выявлено высокое значение преобладания фактора</w:t>
      </w:r>
      <w:bookmarkEnd w:id="10"/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независимости. Такие подростки обычно отличаются уверенностью, самостоятельностью в суждениях, настойчивостью в достижении целей и склонностью опираться на собственное мнение. Это отражает зрелость личности и готовность к индивидуальной ответственности, что особенно важно для лидеров туристских групп.</w:t>
      </w:r>
    </w:p>
    <w:p w14:paraId="42BC95B5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G (беспринципность – сознательность) выявлено высокое значение преобладания фактора сознательности. Подростки с этой чертой чувствуют ответственность, уважают правила и нормы группы, стараются выполнять обязательства. Это качество формирует дисциплину и способствует успешному групповому взаимодействию, особенно в деятельности, требующей организованности и самоконтроля.</w:t>
      </w:r>
    </w:p>
    <w:p w14:paraId="57C814AC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По показателю Q4 (внутренняя расслабленность – напряженность) выявлено высокое значение преобладания фактора внутренней расслабленности. Это признак устойчивого психоэмоционального состояния, способности сохранять спокойствие, адаптивность и уверенность в своих силах в условиях деятельности, требующей выносливости и стрессоустойчивости.</w:t>
      </w:r>
    </w:p>
    <w:p w14:paraId="31CDF51C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lastRenderedPageBreak/>
        <w:t>Оценки соответствуют среднему уровню выраженности показателей следующих факторов: А (замкнутость – открытость), В (ограниченное – гибкое мышление), С (эмоциональная неустойчивость – стабильность), F (озабоченность – беспечность), Н (застенчивость – смелость), (твердость – чувственность), I (твердость – чувственность), L (доверчивость – подозрительность), М (практичность – мечтательность), N (простота – утонченность), О (самоуверенность – чувство вины), Q1 (консерватизм – радикализм), Q2 (зависимость от группы – самостоятельность), Q3 (индифферентность – самоконтроль).</w:t>
      </w:r>
    </w:p>
    <w:p w14:paraId="4540F8DB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>Таким образом, для старших подростков туристско-краеведческой направленности характерен портрет «компетентного реалиста-практика». Их личностный профиль представляет собой внутренне согласованную систему: базовая эмоциональная устойчивость и социальная гибкость сочетаются с высокой самостоятельностью, ответственностью и низким уровнем внутренней напряженности. Это формирует тип личности, оптимально приспособленной к требованиям туристской деятельности: они способны к кооперации, но ценят автономию; дисциплинированы и надежны, сохраняя при этом спокойствие и адекватную реакцию на стресс. Выявленные черты (независимость, сознательность, расслабленность) выступают не изолированно, а как профессионально важные качества, обеспечивающие успешность в деятельности, требующей самоорганизации, командной работы в полевых условиях.</w:t>
      </w:r>
    </w:p>
    <w:p w14:paraId="6897C08C" w14:textId="77777777" w:rsidR="0096371A" w:rsidRPr="0096371A" w:rsidRDefault="0096371A" w:rsidP="0096371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</w:pPr>
      <w:r w:rsidRPr="0096371A">
        <w:rPr>
          <w:rFonts w:ascii="Times New Roman" w:eastAsia="Calibri" w:hAnsi="Times New Roman" w:cs="Times New Roman"/>
          <w:kern w:val="1"/>
          <w:sz w:val="28"/>
          <w:szCs w:val="28"/>
          <w:lang w:bidi="ru-RU"/>
        </w:rPr>
        <w:t xml:space="preserve"> Данный профиль контрастирует с «художественным» типом, будучи в большей степени ориентированным на внешнюю реальность, конкретные задачи и результативную деятельность, а не на выраженную эмоциональную экспрессию.</w:t>
      </w:r>
    </w:p>
    <w:sectPr w:rsidR="0096371A" w:rsidRPr="00963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122A"/>
    <w:multiLevelType w:val="hybridMultilevel"/>
    <w:tmpl w:val="29D6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F1628"/>
    <w:multiLevelType w:val="hybridMultilevel"/>
    <w:tmpl w:val="258A668A"/>
    <w:lvl w:ilvl="0" w:tplc="D9448C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94B1C"/>
    <w:multiLevelType w:val="hybridMultilevel"/>
    <w:tmpl w:val="4D2628BC"/>
    <w:lvl w:ilvl="0" w:tplc="D9448C6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E2ED8"/>
    <w:multiLevelType w:val="hybridMultilevel"/>
    <w:tmpl w:val="1C927F46"/>
    <w:lvl w:ilvl="0" w:tplc="D9448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9448C6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89190A"/>
    <w:multiLevelType w:val="hybridMultilevel"/>
    <w:tmpl w:val="04A697AE"/>
    <w:lvl w:ilvl="0" w:tplc="2D36F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E248BE"/>
    <w:multiLevelType w:val="hybridMultilevel"/>
    <w:tmpl w:val="B366C1EE"/>
    <w:lvl w:ilvl="0" w:tplc="D9448C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B388536">
      <w:numFmt w:val="bullet"/>
      <w:lvlText w:val="·"/>
      <w:lvlJc w:val="left"/>
      <w:pPr>
        <w:ind w:left="2234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6" w15:restartNumberingAfterBreak="0">
    <w:nsid w:val="0FD8071B"/>
    <w:multiLevelType w:val="hybridMultilevel"/>
    <w:tmpl w:val="75026CF6"/>
    <w:lvl w:ilvl="0" w:tplc="2D36F2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F226C4"/>
    <w:multiLevelType w:val="hybridMultilevel"/>
    <w:tmpl w:val="099E7662"/>
    <w:lvl w:ilvl="0" w:tplc="FC6A0F3A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7565F"/>
    <w:multiLevelType w:val="hybridMultilevel"/>
    <w:tmpl w:val="CFD809D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1C60E11C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9A5C9B"/>
    <w:multiLevelType w:val="multilevel"/>
    <w:tmpl w:val="E3F84EA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15C7A01"/>
    <w:multiLevelType w:val="hybridMultilevel"/>
    <w:tmpl w:val="5C3A7066"/>
    <w:lvl w:ilvl="0" w:tplc="D9448C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20B40"/>
    <w:multiLevelType w:val="hybridMultilevel"/>
    <w:tmpl w:val="7EEA67D0"/>
    <w:lvl w:ilvl="0" w:tplc="F7285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9C750D"/>
    <w:multiLevelType w:val="hybridMultilevel"/>
    <w:tmpl w:val="959275E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1C60E11C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C23AC9"/>
    <w:multiLevelType w:val="hybridMultilevel"/>
    <w:tmpl w:val="40821744"/>
    <w:lvl w:ilvl="0" w:tplc="ED5098D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073F11"/>
    <w:multiLevelType w:val="hybridMultilevel"/>
    <w:tmpl w:val="4D702BA8"/>
    <w:lvl w:ilvl="0" w:tplc="3BAA65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63D4B"/>
    <w:multiLevelType w:val="hybridMultilevel"/>
    <w:tmpl w:val="DD1052F8"/>
    <w:lvl w:ilvl="0" w:tplc="AE3842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8E0E8B"/>
    <w:multiLevelType w:val="hybridMultilevel"/>
    <w:tmpl w:val="02C808E0"/>
    <w:lvl w:ilvl="0" w:tplc="43987FCA">
      <w:start w:val="1"/>
      <w:numFmt w:val="decimal"/>
      <w:lvlText w:val="%1)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5DE20F4"/>
    <w:multiLevelType w:val="hybridMultilevel"/>
    <w:tmpl w:val="D0CCBB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806ECC"/>
    <w:multiLevelType w:val="hybridMultilevel"/>
    <w:tmpl w:val="76B22FC6"/>
    <w:lvl w:ilvl="0" w:tplc="D9448C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6045A36">
      <w:numFmt w:val="bullet"/>
      <w:lvlText w:val="·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B21697"/>
    <w:multiLevelType w:val="hybridMultilevel"/>
    <w:tmpl w:val="B3F44E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E004DB"/>
    <w:multiLevelType w:val="hybridMultilevel"/>
    <w:tmpl w:val="EDFEB52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1C60E11C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2DD3E87"/>
    <w:multiLevelType w:val="hybridMultilevel"/>
    <w:tmpl w:val="6388F7D0"/>
    <w:lvl w:ilvl="0" w:tplc="6B9005F2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B27585"/>
    <w:multiLevelType w:val="hybridMultilevel"/>
    <w:tmpl w:val="8DE89E64"/>
    <w:lvl w:ilvl="0" w:tplc="7276BD3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18D018E"/>
    <w:multiLevelType w:val="hybridMultilevel"/>
    <w:tmpl w:val="89029E62"/>
    <w:lvl w:ilvl="0" w:tplc="D9448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2B96E16"/>
    <w:multiLevelType w:val="hybridMultilevel"/>
    <w:tmpl w:val="43FEB4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52E2BCC"/>
    <w:multiLevelType w:val="hybridMultilevel"/>
    <w:tmpl w:val="F73693E4"/>
    <w:lvl w:ilvl="0" w:tplc="3BAA65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14"/>
  </w:num>
  <w:num w:numId="4">
    <w:abstractNumId w:val="25"/>
  </w:num>
  <w:num w:numId="5">
    <w:abstractNumId w:val="7"/>
  </w:num>
  <w:num w:numId="6">
    <w:abstractNumId w:val="21"/>
  </w:num>
  <w:num w:numId="7">
    <w:abstractNumId w:val="15"/>
  </w:num>
  <w:num w:numId="8">
    <w:abstractNumId w:val="6"/>
  </w:num>
  <w:num w:numId="9">
    <w:abstractNumId w:val="11"/>
  </w:num>
  <w:num w:numId="10">
    <w:abstractNumId w:val="2"/>
  </w:num>
  <w:num w:numId="11">
    <w:abstractNumId w:val="1"/>
  </w:num>
  <w:num w:numId="12">
    <w:abstractNumId w:val="5"/>
  </w:num>
  <w:num w:numId="13">
    <w:abstractNumId w:val="4"/>
  </w:num>
  <w:num w:numId="14">
    <w:abstractNumId w:val="23"/>
  </w:num>
  <w:num w:numId="15">
    <w:abstractNumId w:val="18"/>
  </w:num>
  <w:num w:numId="16">
    <w:abstractNumId w:val="3"/>
  </w:num>
  <w:num w:numId="17">
    <w:abstractNumId w:val="10"/>
  </w:num>
  <w:num w:numId="18">
    <w:abstractNumId w:val="13"/>
  </w:num>
  <w:num w:numId="19">
    <w:abstractNumId w:val="9"/>
  </w:num>
  <w:num w:numId="20">
    <w:abstractNumId w:val="8"/>
  </w:num>
  <w:num w:numId="21">
    <w:abstractNumId w:val="16"/>
  </w:num>
  <w:num w:numId="22">
    <w:abstractNumId w:val="24"/>
  </w:num>
  <w:num w:numId="23">
    <w:abstractNumId w:val="20"/>
  </w:num>
  <w:num w:numId="24">
    <w:abstractNumId w:val="19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C3B"/>
    <w:rsid w:val="002241AC"/>
    <w:rsid w:val="00667C3B"/>
    <w:rsid w:val="006A22D1"/>
    <w:rsid w:val="0096371A"/>
    <w:rsid w:val="00D9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7F5ED"/>
  <w15:chartTrackingRefBased/>
  <w15:docId w15:val="{E10A210A-09CA-4AE2-AB75-397710B74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371A"/>
    <w:pPr>
      <w:keepNext/>
      <w:keepLines/>
      <w:spacing w:before="240" w:after="0" w:line="252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6371A"/>
    <w:pPr>
      <w:keepNext/>
      <w:keepLines/>
      <w:spacing w:before="40" w:after="0" w:line="252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371A"/>
    <w:rPr>
      <w:rFonts w:asciiTheme="majorHAnsi" w:eastAsiaTheme="majorEastAsia" w:hAnsiTheme="majorHAnsi" w:cstheme="majorBidi"/>
      <w:color w:val="2F5496" w:themeColor="accent1" w:themeShade="BF"/>
      <w:kern w:val="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6371A"/>
    <w:rPr>
      <w:rFonts w:asciiTheme="majorHAnsi" w:eastAsiaTheme="majorEastAsia" w:hAnsiTheme="majorHAnsi" w:cstheme="majorBidi"/>
      <w:color w:val="2F5496" w:themeColor="accent1" w:themeShade="BF"/>
      <w:kern w:val="1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96371A"/>
  </w:style>
  <w:style w:type="paragraph" w:styleId="a3">
    <w:name w:val="TOC Heading"/>
    <w:basedOn w:val="1"/>
    <w:next w:val="a"/>
    <w:uiPriority w:val="39"/>
    <w:unhideWhenUsed/>
    <w:qFormat/>
    <w:rsid w:val="0096371A"/>
    <w:pPr>
      <w:spacing w:line="259" w:lineRule="auto"/>
      <w:outlineLvl w:val="9"/>
    </w:pPr>
    <w:rPr>
      <w:kern w:val="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96371A"/>
    <w:pPr>
      <w:tabs>
        <w:tab w:val="right" w:leader="dot" w:pos="9628"/>
      </w:tabs>
      <w:spacing w:after="100" w:line="252" w:lineRule="auto"/>
      <w:ind w:left="284"/>
    </w:pPr>
    <w:rPr>
      <w:rFonts w:ascii="Times New Roman" w:eastAsia="Calibri" w:hAnsi="Times New Roman" w:cs="Times New Roman"/>
      <w:noProof/>
      <w:kern w:val="1"/>
      <w:sz w:val="28"/>
      <w:szCs w:val="28"/>
    </w:rPr>
  </w:style>
  <w:style w:type="character" w:styleId="a4">
    <w:name w:val="Hyperlink"/>
    <w:basedOn w:val="a0"/>
    <w:uiPriority w:val="99"/>
    <w:unhideWhenUsed/>
    <w:rsid w:val="0096371A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96371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6371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kern w:val="1"/>
    </w:rPr>
  </w:style>
  <w:style w:type="character" w:customStyle="1" w:styleId="a7">
    <w:name w:val="Верхний колонтитул Знак"/>
    <w:basedOn w:val="a0"/>
    <w:link w:val="a6"/>
    <w:uiPriority w:val="99"/>
    <w:rsid w:val="0096371A"/>
    <w:rPr>
      <w:rFonts w:ascii="Calibri" w:eastAsia="Calibri" w:hAnsi="Calibri" w:cs="Times New Roman"/>
      <w:kern w:val="1"/>
    </w:rPr>
  </w:style>
  <w:style w:type="paragraph" w:styleId="a8">
    <w:name w:val="footer"/>
    <w:basedOn w:val="a"/>
    <w:link w:val="a9"/>
    <w:uiPriority w:val="99"/>
    <w:unhideWhenUsed/>
    <w:rsid w:val="0096371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kern w:val="1"/>
    </w:rPr>
  </w:style>
  <w:style w:type="character" w:customStyle="1" w:styleId="a9">
    <w:name w:val="Нижний колонтитул Знак"/>
    <w:basedOn w:val="a0"/>
    <w:link w:val="a8"/>
    <w:uiPriority w:val="99"/>
    <w:rsid w:val="0096371A"/>
    <w:rPr>
      <w:rFonts w:ascii="Calibri" w:eastAsia="Calibri" w:hAnsi="Calibri" w:cs="Times New Roman"/>
      <w:kern w:val="1"/>
    </w:rPr>
  </w:style>
  <w:style w:type="table" w:styleId="aa">
    <w:name w:val="Table Grid"/>
    <w:basedOn w:val="a1"/>
    <w:uiPriority w:val="39"/>
    <w:rsid w:val="00963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aption"/>
    <w:basedOn w:val="a"/>
    <w:next w:val="a"/>
    <w:uiPriority w:val="35"/>
    <w:unhideWhenUsed/>
    <w:qFormat/>
    <w:rsid w:val="0096371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rsid w:val="009637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irstParagraph">
    <w:name w:val="First Paragraph"/>
    <w:basedOn w:val="ac"/>
    <w:next w:val="ac"/>
    <w:qFormat/>
    <w:rsid w:val="0096371A"/>
    <w:pPr>
      <w:spacing w:after="0" w:line="360" w:lineRule="auto"/>
      <w:ind w:firstLine="720"/>
      <w:jc w:val="both"/>
    </w:pPr>
    <w:rPr>
      <w:rFonts w:ascii="Times New Roman" w:eastAsiaTheme="minorHAnsi" w:hAnsi="Times New Roman" w:cstheme="minorBidi"/>
      <w:kern w:val="0"/>
      <w:sz w:val="24"/>
      <w:szCs w:val="24"/>
      <w:lang w:val="en-US"/>
    </w:rPr>
  </w:style>
  <w:style w:type="paragraph" w:customStyle="1" w:styleId="Figure">
    <w:name w:val="Figure"/>
    <w:basedOn w:val="a"/>
    <w:rsid w:val="0096371A"/>
    <w:pPr>
      <w:spacing w:after="200" w:line="240" w:lineRule="auto"/>
    </w:pPr>
    <w:rPr>
      <w:sz w:val="24"/>
      <w:szCs w:val="24"/>
      <w:lang w:val="en-US"/>
    </w:rPr>
  </w:style>
  <w:style w:type="paragraph" w:styleId="ac">
    <w:name w:val="Body Text"/>
    <w:basedOn w:val="a"/>
    <w:link w:val="ad"/>
    <w:uiPriority w:val="99"/>
    <w:unhideWhenUsed/>
    <w:rsid w:val="0096371A"/>
    <w:pPr>
      <w:spacing w:after="120" w:line="252" w:lineRule="auto"/>
    </w:pPr>
    <w:rPr>
      <w:rFonts w:ascii="Calibri" w:eastAsia="Calibri" w:hAnsi="Calibri" w:cs="Times New Roman"/>
      <w:kern w:val="1"/>
    </w:rPr>
  </w:style>
  <w:style w:type="character" w:customStyle="1" w:styleId="ad">
    <w:name w:val="Основной текст Знак"/>
    <w:basedOn w:val="a0"/>
    <w:link w:val="ac"/>
    <w:uiPriority w:val="99"/>
    <w:rsid w:val="0096371A"/>
    <w:rPr>
      <w:rFonts w:ascii="Calibri" w:eastAsia="Calibri" w:hAnsi="Calibri" w:cs="Times New Roman"/>
      <w:kern w:val="1"/>
    </w:rPr>
  </w:style>
  <w:style w:type="paragraph" w:styleId="ae">
    <w:name w:val="Normal (Web)"/>
    <w:basedOn w:val="a"/>
    <w:uiPriority w:val="99"/>
    <w:semiHidden/>
    <w:unhideWhenUsed/>
    <w:rsid w:val="00963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6371A"/>
    <w:pPr>
      <w:spacing w:after="0" w:line="240" w:lineRule="auto"/>
    </w:pPr>
    <w:rPr>
      <w:rFonts w:ascii="Tahoma" w:eastAsia="Calibri" w:hAnsi="Tahoma" w:cs="Tahoma"/>
      <w:kern w:val="1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6371A"/>
    <w:rPr>
      <w:rFonts w:ascii="Tahoma" w:eastAsia="Calibri" w:hAnsi="Tahoma" w:cs="Tahoma"/>
      <w:kern w:val="1"/>
      <w:sz w:val="16"/>
      <w:szCs w:val="16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6371A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96371A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96371A"/>
    <w:rPr>
      <w:color w:val="954F72" w:themeColor="followedHyperlink"/>
      <w:u w:val="single"/>
    </w:rPr>
  </w:style>
  <w:style w:type="numbering" w:customStyle="1" w:styleId="110">
    <w:name w:val="Нет списка11"/>
    <w:next w:val="a2"/>
    <w:uiPriority w:val="99"/>
    <w:semiHidden/>
    <w:unhideWhenUsed/>
    <w:rsid w:val="0096371A"/>
  </w:style>
  <w:style w:type="numbering" w:customStyle="1" w:styleId="22">
    <w:name w:val="Нет списка2"/>
    <w:next w:val="a2"/>
    <w:uiPriority w:val="99"/>
    <w:semiHidden/>
    <w:unhideWhenUsed/>
    <w:rsid w:val="0096371A"/>
  </w:style>
  <w:style w:type="character" w:styleId="af2">
    <w:name w:val="Unresolved Mention"/>
    <w:basedOn w:val="a0"/>
    <w:uiPriority w:val="99"/>
    <w:semiHidden/>
    <w:unhideWhenUsed/>
    <w:rsid w:val="0096371A"/>
    <w:rPr>
      <w:color w:val="605E5C"/>
      <w:shd w:val="clear" w:color="auto" w:fill="E1DFDD"/>
    </w:rPr>
  </w:style>
  <w:style w:type="paragraph" w:styleId="23">
    <w:name w:val="toc 2"/>
    <w:basedOn w:val="a"/>
    <w:next w:val="a"/>
    <w:autoRedefine/>
    <w:uiPriority w:val="39"/>
    <w:unhideWhenUsed/>
    <w:rsid w:val="0096371A"/>
    <w:pPr>
      <w:spacing w:after="100" w:line="252" w:lineRule="auto"/>
      <w:ind w:left="220"/>
    </w:pPr>
    <w:rPr>
      <w:rFonts w:ascii="Calibri" w:eastAsia="Calibri" w:hAnsi="Calibri" w:cs="Times New Roman"/>
      <w:kern w:val="1"/>
    </w:rPr>
  </w:style>
  <w:style w:type="numbering" w:customStyle="1" w:styleId="3">
    <w:name w:val="Нет списка3"/>
    <w:next w:val="a2"/>
    <w:uiPriority w:val="99"/>
    <w:semiHidden/>
    <w:unhideWhenUsed/>
    <w:rsid w:val="00963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2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4285F4"/>
            </a:solidFill>
            <a:ln w="25400">
              <a:noFill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'Опросник Айзенка'!$A$1:$B$1</c:f>
              <c:strCache>
                <c:ptCount val="2"/>
                <c:pt idx="0">
                  <c:v>Экстраверсия</c:v>
                </c:pt>
                <c:pt idx="1">
                  <c:v>Эмоциональная неустойчивость</c:v>
                </c:pt>
              </c:strCache>
            </c:strRef>
          </c:cat>
          <c:val>
            <c:numRef>
              <c:f>'Опросник Айзенка'!$A$2:$B$2</c:f>
              <c:numCache>
                <c:formatCode>0.0</c:formatCode>
                <c:ptCount val="2"/>
                <c:pt idx="0">
                  <c:v>14.4</c:v>
                </c:pt>
                <c:pt idx="1">
                  <c:v>17.84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99-43D0-862E-452C9D9AC9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39997952"/>
        <c:axId val="139432704"/>
      </c:barChart>
      <c:catAx>
        <c:axId val="139997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9432704"/>
        <c:crosses val="autoZero"/>
        <c:auto val="1"/>
        <c:lblAlgn val="ctr"/>
        <c:lblOffset val="100"/>
        <c:noMultiLvlLbl val="0"/>
      </c:catAx>
      <c:valAx>
        <c:axId val="139432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ln w="6350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999795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Лист1!$A$2:$A$17</c:f>
              <c:strCache>
                <c:ptCount val="16"/>
                <c:pt idx="0">
                  <c:v>А</c:v>
                </c:pt>
                <c:pt idx="1">
                  <c:v>B</c:v>
                </c:pt>
                <c:pt idx="2">
                  <c:v>C</c:v>
                </c:pt>
                <c:pt idx="3">
                  <c:v>E</c:v>
                </c:pt>
                <c:pt idx="4">
                  <c:v>F</c:v>
                </c:pt>
                <c:pt idx="5">
                  <c:v>G</c:v>
                </c:pt>
                <c:pt idx="6">
                  <c:v>H</c:v>
                </c:pt>
                <c:pt idx="7">
                  <c:v>I</c:v>
                </c:pt>
                <c:pt idx="8">
                  <c:v>L</c:v>
                </c:pt>
                <c:pt idx="9">
                  <c:v>M</c:v>
                </c:pt>
                <c:pt idx="10">
                  <c:v>N</c:v>
                </c:pt>
                <c:pt idx="11">
                  <c:v>O</c:v>
                </c:pt>
                <c:pt idx="12">
                  <c:v>Q1</c:v>
                </c:pt>
                <c:pt idx="13">
                  <c:v>Q2</c:v>
                </c:pt>
                <c:pt idx="14">
                  <c:v>Q3</c:v>
                </c:pt>
                <c:pt idx="15">
                  <c:v>Q4</c:v>
                </c:pt>
              </c:strCache>
            </c:strRef>
          </c:cat>
          <c:val>
            <c:numRef>
              <c:f>Лист1!$B$2:$B$17</c:f>
              <c:numCache>
                <c:formatCode>General</c:formatCode>
                <c:ptCount val="16"/>
                <c:pt idx="0">
                  <c:v>7.44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5</c:v>
                </c:pt>
                <c:pt idx="5">
                  <c:v>6</c:v>
                </c:pt>
                <c:pt idx="6">
                  <c:v>8</c:v>
                </c:pt>
                <c:pt idx="7">
                  <c:v>6</c:v>
                </c:pt>
                <c:pt idx="8">
                  <c:v>6</c:v>
                </c:pt>
                <c:pt idx="9">
                  <c:v>7</c:v>
                </c:pt>
                <c:pt idx="10">
                  <c:v>7</c:v>
                </c:pt>
                <c:pt idx="11">
                  <c:v>6</c:v>
                </c:pt>
                <c:pt idx="12">
                  <c:v>5</c:v>
                </c:pt>
                <c:pt idx="13">
                  <c:v>6</c:v>
                </c:pt>
                <c:pt idx="14">
                  <c:v>7</c:v>
                </c:pt>
                <c:pt idx="15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E9B-4A52-9DBC-813B74E50AD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Лист1!$A$2:$A$17</c:f>
              <c:strCache>
                <c:ptCount val="16"/>
                <c:pt idx="0">
                  <c:v>А</c:v>
                </c:pt>
                <c:pt idx="1">
                  <c:v>B</c:v>
                </c:pt>
                <c:pt idx="2">
                  <c:v>C</c:v>
                </c:pt>
                <c:pt idx="3">
                  <c:v>E</c:v>
                </c:pt>
                <c:pt idx="4">
                  <c:v>F</c:v>
                </c:pt>
                <c:pt idx="5">
                  <c:v>G</c:v>
                </c:pt>
                <c:pt idx="6">
                  <c:v>H</c:v>
                </c:pt>
                <c:pt idx="7">
                  <c:v>I</c:v>
                </c:pt>
                <c:pt idx="8">
                  <c:v>L</c:v>
                </c:pt>
                <c:pt idx="9">
                  <c:v>M</c:v>
                </c:pt>
                <c:pt idx="10">
                  <c:v>N</c:v>
                </c:pt>
                <c:pt idx="11">
                  <c:v>O</c:v>
                </c:pt>
                <c:pt idx="12">
                  <c:v>Q1</c:v>
                </c:pt>
                <c:pt idx="13">
                  <c:v>Q2</c:v>
                </c:pt>
                <c:pt idx="14">
                  <c:v>Q3</c:v>
                </c:pt>
                <c:pt idx="15">
                  <c:v>Q4</c:v>
                </c:pt>
              </c:strCache>
            </c:strRef>
          </c:cat>
          <c:val>
            <c:numRef>
              <c:f>Лист1!$C$2:$C$17</c:f>
              <c:numCache>
                <c:formatCode>General</c:formatCode>
                <c:ptCount val="16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E9B-4A52-9DBC-813B74E50AD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Лист1!$A$2:$A$17</c:f>
              <c:strCache>
                <c:ptCount val="16"/>
                <c:pt idx="0">
                  <c:v>А</c:v>
                </c:pt>
                <c:pt idx="1">
                  <c:v>B</c:v>
                </c:pt>
                <c:pt idx="2">
                  <c:v>C</c:v>
                </c:pt>
                <c:pt idx="3">
                  <c:v>E</c:v>
                </c:pt>
                <c:pt idx="4">
                  <c:v>F</c:v>
                </c:pt>
                <c:pt idx="5">
                  <c:v>G</c:v>
                </c:pt>
                <c:pt idx="6">
                  <c:v>H</c:v>
                </c:pt>
                <c:pt idx="7">
                  <c:v>I</c:v>
                </c:pt>
                <c:pt idx="8">
                  <c:v>L</c:v>
                </c:pt>
                <c:pt idx="9">
                  <c:v>M</c:v>
                </c:pt>
                <c:pt idx="10">
                  <c:v>N</c:v>
                </c:pt>
                <c:pt idx="11">
                  <c:v>O</c:v>
                </c:pt>
                <c:pt idx="12">
                  <c:v>Q1</c:v>
                </c:pt>
                <c:pt idx="13">
                  <c:v>Q2</c:v>
                </c:pt>
                <c:pt idx="14">
                  <c:v>Q3</c:v>
                </c:pt>
                <c:pt idx="15">
                  <c:v>Q4</c:v>
                </c:pt>
              </c:strCache>
            </c:strRef>
          </c:cat>
          <c:val>
            <c:numRef>
              <c:f>Лист1!$D$2:$D$17</c:f>
              <c:numCache>
                <c:formatCode>General</c:formatCode>
                <c:ptCount val="16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E9B-4A52-9DBC-813B74E50A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48954496"/>
        <c:axId val="152102016"/>
      </c:lineChart>
      <c:catAx>
        <c:axId val="148954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2102016"/>
        <c:crosses val="autoZero"/>
        <c:auto val="1"/>
        <c:lblAlgn val="ctr"/>
        <c:lblOffset val="100"/>
        <c:noMultiLvlLbl val="0"/>
      </c:catAx>
      <c:valAx>
        <c:axId val="152102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89544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4285F4"/>
            </a:solidFill>
            <a:ln w="25400">
              <a:noFill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'Опросник Айзенка'!$A$1:$B$1</c:f>
              <c:strCache>
                <c:ptCount val="2"/>
                <c:pt idx="0">
                  <c:v>Экстроверсия</c:v>
                </c:pt>
                <c:pt idx="1">
                  <c:v>Эмоциональная неустойчивость</c:v>
                </c:pt>
              </c:strCache>
            </c:strRef>
          </c:cat>
          <c:val>
            <c:numRef>
              <c:f>'Опросник Айзенка'!$A$2:$B$2</c:f>
              <c:numCache>
                <c:formatCode>0.0</c:formatCode>
                <c:ptCount val="2"/>
                <c:pt idx="0">
                  <c:v>16.920000000000002</c:v>
                </c:pt>
                <c:pt idx="1">
                  <c:v>13.08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42-4210-89DB-F1E7CCE4CB3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1942912"/>
        <c:axId val="71944448"/>
      </c:barChart>
      <c:catAx>
        <c:axId val="71942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1944448"/>
        <c:crosses val="autoZero"/>
        <c:auto val="1"/>
        <c:lblAlgn val="ctr"/>
        <c:lblOffset val="100"/>
        <c:noMultiLvlLbl val="0"/>
      </c:catAx>
      <c:valAx>
        <c:axId val="71944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spPr>
          <a:ln w="6350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1942912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Лист1!$A$2:$A$17</c:f>
              <c:strCache>
                <c:ptCount val="16"/>
                <c:pt idx="0">
                  <c:v>А</c:v>
                </c:pt>
                <c:pt idx="1">
                  <c:v>B</c:v>
                </c:pt>
                <c:pt idx="2">
                  <c:v>C</c:v>
                </c:pt>
                <c:pt idx="3">
                  <c:v>E</c:v>
                </c:pt>
                <c:pt idx="4">
                  <c:v>F</c:v>
                </c:pt>
                <c:pt idx="5">
                  <c:v>G</c:v>
                </c:pt>
                <c:pt idx="6">
                  <c:v>H</c:v>
                </c:pt>
                <c:pt idx="7">
                  <c:v>I</c:v>
                </c:pt>
                <c:pt idx="8">
                  <c:v>L</c:v>
                </c:pt>
                <c:pt idx="9">
                  <c:v>M</c:v>
                </c:pt>
                <c:pt idx="10">
                  <c:v>N</c:v>
                </c:pt>
                <c:pt idx="11">
                  <c:v>O</c:v>
                </c:pt>
                <c:pt idx="12">
                  <c:v>Q1</c:v>
                </c:pt>
                <c:pt idx="13">
                  <c:v>Q2</c:v>
                </c:pt>
                <c:pt idx="14">
                  <c:v>Q3</c:v>
                </c:pt>
                <c:pt idx="15">
                  <c:v>Q4</c:v>
                </c:pt>
              </c:strCache>
            </c:strRef>
          </c:cat>
          <c:val>
            <c:numRef>
              <c:f>Лист1!$B$2:$B$17</c:f>
              <c:numCache>
                <c:formatCode>General</c:formatCode>
                <c:ptCount val="16"/>
                <c:pt idx="0">
                  <c:v>6.56</c:v>
                </c:pt>
                <c:pt idx="1">
                  <c:v>5.96</c:v>
                </c:pt>
                <c:pt idx="2">
                  <c:v>6.88</c:v>
                </c:pt>
                <c:pt idx="3">
                  <c:v>7.2</c:v>
                </c:pt>
                <c:pt idx="4">
                  <c:v>5.92</c:v>
                </c:pt>
                <c:pt idx="5">
                  <c:v>7.3599999999999985</c:v>
                </c:pt>
                <c:pt idx="6">
                  <c:v>6.48</c:v>
                </c:pt>
                <c:pt idx="7">
                  <c:v>5.84</c:v>
                </c:pt>
                <c:pt idx="8">
                  <c:v>5.88</c:v>
                </c:pt>
                <c:pt idx="9">
                  <c:v>5.84</c:v>
                </c:pt>
                <c:pt idx="10">
                  <c:v>5.8</c:v>
                </c:pt>
                <c:pt idx="11">
                  <c:v>6.68</c:v>
                </c:pt>
                <c:pt idx="12">
                  <c:v>4.96</c:v>
                </c:pt>
                <c:pt idx="13">
                  <c:v>6.1199999999999966</c:v>
                </c:pt>
                <c:pt idx="14">
                  <c:v>6.28</c:v>
                </c:pt>
                <c:pt idx="15">
                  <c:v>1.24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DFE-4F4A-A7BE-42E40E6B62D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Лист1!$A$2:$A$17</c:f>
              <c:strCache>
                <c:ptCount val="16"/>
                <c:pt idx="0">
                  <c:v>А</c:v>
                </c:pt>
                <c:pt idx="1">
                  <c:v>B</c:v>
                </c:pt>
                <c:pt idx="2">
                  <c:v>C</c:v>
                </c:pt>
                <c:pt idx="3">
                  <c:v>E</c:v>
                </c:pt>
                <c:pt idx="4">
                  <c:v>F</c:v>
                </c:pt>
                <c:pt idx="5">
                  <c:v>G</c:v>
                </c:pt>
                <c:pt idx="6">
                  <c:v>H</c:v>
                </c:pt>
                <c:pt idx="7">
                  <c:v>I</c:v>
                </c:pt>
                <c:pt idx="8">
                  <c:v>L</c:v>
                </c:pt>
                <c:pt idx="9">
                  <c:v>M</c:v>
                </c:pt>
                <c:pt idx="10">
                  <c:v>N</c:v>
                </c:pt>
                <c:pt idx="11">
                  <c:v>O</c:v>
                </c:pt>
                <c:pt idx="12">
                  <c:v>Q1</c:v>
                </c:pt>
                <c:pt idx="13">
                  <c:v>Q2</c:v>
                </c:pt>
                <c:pt idx="14">
                  <c:v>Q3</c:v>
                </c:pt>
                <c:pt idx="15">
                  <c:v>Q4</c:v>
                </c:pt>
              </c:strCache>
            </c:strRef>
          </c:cat>
          <c:val>
            <c:numRef>
              <c:f>Лист1!$C$2:$C$17</c:f>
              <c:numCache>
                <c:formatCode>General</c:formatCode>
                <c:ptCount val="16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DFE-4F4A-A7BE-42E40E6B62D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Лист1!$A$2:$A$17</c:f>
              <c:strCache>
                <c:ptCount val="16"/>
                <c:pt idx="0">
                  <c:v>А</c:v>
                </c:pt>
                <c:pt idx="1">
                  <c:v>B</c:v>
                </c:pt>
                <c:pt idx="2">
                  <c:v>C</c:v>
                </c:pt>
                <c:pt idx="3">
                  <c:v>E</c:v>
                </c:pt>
                <c:pt idx="4">
                  <c:v>F</c:v>
                </c:pt>
                <c:pt idx="5">
                  <c:v>G</c:v>
                </c:pt>
                <c:pt idx="6">
                  <c:v>H</c:v>
                </c:pt>
                <c:pt idx="7">
                  <c:v>I</c:v>
                </c:pt>
                <c:pt idx="8">
                  <c:v>L</c:v>
                </c:pt>
                <c:pt idx="9">
                  <c:v>M</c:v>
                </c:pt>
                <c:pt idx="10">
                  <c:v>N</c:v>
                </c:pt>
                <c:pt idx="11">
                  <c:v>O</c:v>
                </c:pt>
                <c:pt idx="12">
                  <c:v>Q1</c:v>
                </c:pt>
                <c:pt idx="13">
                  <c:v>Q2</c:v>
                </c:pt>
                <c:pt idx="14">
                  <c:v>Q3</c:v>
                </c:pt>
                <c:pt idx="15">
                  <c:v>Q4</c:v>
                </c:pt>
              </c:strCache>
            </c:strRef>
          </c:cat>
          <c:val>
            <c:numRef>
              <c:f>Лист1!$D$2:$D$17</c:f>
              <c:numCache>
                <c:formatCode>General</c:formatCode>
                <c:ptCount val="16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DFE-4F4A-A7BE-42E40E6B62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16951680"/>
        <c:axId val="116961664"/>
      </c:lineChart>
      <c:catAx>
        <c:axId val="116951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961664"/>
        <c:crosses val="autoZero"/>
        <c:auto val="1"/>
        <c:lblAlgn val="ctr"/>
        <c:lblOffset val="100"/>
        <c:noMultiLvlLbl val="0"/>
      </c:catAx>
      <c:valAx>
        <c:axId val="1169616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69516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1822</Words>
  <Characters>10389</Characters>
  <Application>Microsoft Office Word</Application>
  <DocSecurity>0</DocSecurity>
  <Lines>86</Lines>
  <Paragraphs>24</Paragraphs>
  <ScaleCrop>false</ScaleCrop>
  <Company/>
  <LinksUpToDate>false</LinksUpToDate>
  <CharactersWithSpaces>12187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Бычкова Татьяна</dc:creator>
  <cp:keywords/>
  <dc:description/>
  <cp:lastModifiedBy>Бычкова Татьяна</cp:lastModifiedBy>
  <cp:revision>7</cp:revision>
  <dcterms:created xsi:type="dcterms:W3CDTF">2026-06-03T09:40:00Z</dcterms:created>
  <dcterms:modified xsi:type="dcterms:W3CDTF">2026-06-03T10:04:00Z</dcterms:modified>
</cp:coreProperties>
</file>