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244" w:rsidRDefault="00FC0DB5" w:rsidP="00D102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0244">
        <w:rPr>
          <w:rFonts w:ascii="Times New Roman" w:hAnsi="Times New Roman" w:cs="Times New Roman"/>
          <w:b/>
          <w:sz w:val="28"/>
          <w:szCs w:val="28"/>
        </w:rPr>
        <w:t>Система внутрифирменного обучения как фактор повышения управленческой компетентности административного звена</w:t>
      </w:r>
      <w:r>
        <w:rPr>
          <w:rFonts w:ascii="Times New Roman" w:hAnsi="Times New Roman" w:cs="Times New Roman"/>
          <w:b/>
          <w:sz w:val="28"/>
          <w:szCs w:val="28"/>
        </w:rPr>
        <w:t xml:space="preserve"> на промышленном предприятии </w:t>
      </w:r>
    </w:p>
    <w:p w:rsidR="00FC0DB5" w:rsidRDefault="001259BF" w:rsidP="00FC0DB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59BF">
        <w:rPr>
          <w:rFonts w:ascii="Times New Roman" w:hAnsi="Times New Roman" w:cs="Times New Roman"/>
          <w:b/>
          <w:sz w:val="24"/>
          <w:szCs w:val="24"/>
        </w:rPr>
        <w:t>Авторы</w:t>
      </w:r>
      <w:r w:rsidRPr="000076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259BF">
        <w:rPr>
          <w:rFonts w:ascii="Times New Roman" w:hAnsi="Times New Roman" w:cs="Times New Roman"/>
          <w:b/>
          <w:sz w:val="24"/>
          <w:szCs w:val="24"/>
        </w:rPr>
        <w:t xml:space="preserve">статьи: </w:t>
      </w:r>
    </w:p>
    <w:p w:rsidR="00FC0DB5" w:rsidRDefault="001259BF" w:rsidP="00FC0D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259BF">
        <w:rPr>
          <w:rFonts w:ascii="Times New Roman" w:hAnsi="Times New Roman" w:cs="Times New Roman"/>
          <w:b/>
          <w:sz w:val="24"/>
          <w:szCs w:val="24"/>
        </w:rPr>
        <w:t xml:space="preserve">Дымова Ольга Викторовна, </w:t>
      </w:r>
      <w:r w:rsidR="00FC0DB5" w:rsidRPr="00FC0DB5">
        <w:rPr>
          <w:rFonts w:ascii="Times New Roman" w:hAnsi="Times New Roman" w:cs="Times New Roman"/>
          <w:sz w:val="24"/>
          <w:szCs w:val="24"/>
        </w:rPr>
        <w:t xml:space="preserve">магистрант </w:t>
      </w:r>
      <w:r w:rsidRPr="00FC0DB5">
        <w:rPr>
          <w:rFonts w:ascii="Times New Roman" w:hAnsi="Times New Roman" w:cs="Times New Roman"/>
          <w:sz w:val="24"/>
          <w:szCs w:val="24"/>
        </w:rPr>
        <w:t>ФГБОУ ВО «</w:t>
      </w:r>
      <w:proofErr w:type="spellStart"/>
      <w:r w:rsidRPr="00FC0DB5">
        <w:rPr>
          <w:rFonts w:ascii="Times New Roman" w:hAnsi="Times New Roman" w:cs="Times New Roman"/>
          <w:sz w:val="24"/>
          <w:szCs w:val="24"/>
        </w:rPr>
        <w:t>КемГУ</w:t>
      </w:r>
      <w:proofErr w:type="spellEnd"/>
      <w:r w:rsidRPr="00FC0DB5">
        <w:rPr>
          <w:rFonts w:ascii="Times New Roman" w:hAnsi="Times New Roman" w:cs="Times New Roman"/>
          <w:sz w:val="24"/>
          <w:szCs w:val="24"/>
        </w:rPr>
        <w:t xml:space="preserve">», </w:t>
      </w:r>
      <w:r w:rsidRPr="001259BF">
        <w:rPr>
          <w:rFonts w:ascii="Times New Roman" w:hAnsi="Times New Roman" w:cs="Times New Roman"/>
          <w:sz w:val="24"/>
          <w:szCs w:val="24"/>
        </w:rPr>
        <w:t xml:space="preserve">начальник отдела обучения и развития персонала ПАО «Кокс», </w:t>
      </w:r>
    </w:p>
    <w:p w:rsidR="001259BF" w:rsidRPr="00007676" w:rsidRDefault="001259BF" w:rsidP="00FC0D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C0DB5">
        <w:rPr>
          <w:rFonts w:ascii="Times New Roman" w:hAnsi="Times New Roman" w:cs="Times New Roman"/>
          <w:b/>
          <w:sz w:val="24"/>
          <w:szCs w:val="24"/>
        </w:rPr>
        <w:t>Кудымова</w:t>
      </w:r>
      <w:proofErr w:type="spellEnd"/>
      <w:r w:rsidRPr="00FC0DB5">
        <w:rPr>
          <w:rFonts w:ascii="Times New Roman" w:hAnsi="Times New Roman" w:cs="Times New Roman"/>
          <w:b/>
          <w:sz w:val="24"/>
          <w:szCs w:val="24"/>
        </w:rPr>
        <w:t xml:space="preserve"> Александра Александровна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FC0DB5">
        <w:rPr>
          <w:rFonts w:ascii="Times New Roman" w:hAnsi="Times New Roman" w:cs="Times New Roman"/>
          <w:sz w:val="24"/>
          <w:szCs w:val="24"/>
        </w:rPr>
        <w:t xml:space="preserve"> </w:t>
      </w:r>
      <w:r w:rsidR="00FC0DB5" w:rsidRPr="00FC0DB5">
        <w:rPr>
          <w:rFonts w:ascii="Times New Roman" w:hAnsi="Times New Roman" w:cs="Times New Roman"/>
          <w:sz w:val="24"/>
          <w:szCs w:val="24"/>
        </w:rPr>
        <w:t>магистрант ФГБОУ ВО «</w:t>
      </w:r>
      <w:proofErr w:type="spellStart"/>
      <w:r w:rsidR="00FC0DB5" w:rsidRPr="00FC0DB5">
        <w:rPr>
          <w:rFonts w:ascii="Times New Roman" w:hAnsi="Times New Roman" w:cs="Times New Roman"/>
          <w:sz w:val="24"/>
          <w:szCs w:val="24"/>
        </w:rPr>
        <w:t>КемГУ</w:t>
      </w:r>
      <w:proofErr w:type="spellEnd"/>
      <w:r w:rsidR="00FC0DB5" w:rsidRPr="00FC0DB5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>заместитель начальника отдела обучения и развития персонала ПАО «Кокс»</w:t>
      </w:r>
    </w:p>
    <w:p w:rsidR="001259BF" w:rsidRDefault="001259BF" w:rsidP="001259BF">
      <w:pPr>
        <w:rPr>
          <w:rFonts w:ascii="Times New Roman" w:hAnsi="Times New Roman" w:cs="Times New Roman"/>
          <w:sz w:val="24"/>
          <w:szCs w:val="24"/>
        </w:rPr>
      </w:pPr>
    </w:p>
    <w:p w:rsidR="001259BF" w:rsidRDefault="001259BF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9BF">
        <w:rPr>
          <w:rFonts w:ascii="Times New Roman" w:hAnsi="Times New Roman" w:cs="Times New Roman"/>
          <w:sz w:val="28"/>
          <w:szCs w:val="28"/>
        </w:rPr>
        <w:t xml:space="preserve">Аннотация. </w:t>
      </w:r>
    </w:p>
    <w:p w:rsidR="001259BF" w:rsidRDefault="001259BF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1259BF">
        <w:rPr>
          <w:rFonts w:ascii="Times New Roman" w:hAnsi="Times New Roman" w:cs="Times New Roman"/>
          <w:sz w:val="28"/>
          <w:szCs w:val="28"/>
        </w:rPr>
        <w:t>В статье рассматриваются вопросы формирования управленческой компетентности специалистов административного уровня в условиях внутрифирменного обучения. Раскрываются основные подходы к пониманию управленческой компетентности, её структурные компоненты и особенности развития в промышленной организации. Особое внимание уделено системе внутрифирменного обучения как механизму совершенствования профессиональных, коммуникативных и организационно-управленческих навыков сотрудников административного звена. В качестве примера рассматриваются особенности подготовки кадров в условиях промышлен</w:t>
      </w:r>
      <w:r>
        <w:rPr>
          <w:rFonts w:ascii="Times New Roman" w:hAnsi="Times New Roman" w:cs="Times New Roman"/>
          <w:sz w:val="28"/>
          <w:szCs w:val="28"/>
        </w:rPr>
        <w:t>ного предприятия.</w:t>
      </w:r>
    </w:p>
    <w:p w:rsidR="001259BF" w:rsidRDefault="001259BF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9BF">
        <w:rPr>
          <w:rFonts w:ascii="Times New Roman" w:hAnsi="Times New Roman" w:cs="Times New Roman"/>
          <w:sz w:val="28"/>
          <w:szCs w:val="28"/>
        </w:rPr>
        <w:t>Ключевые слова: управленческая компетентность, внутрифирменное обучение, административный персонал, профессиональное развитие, промышленное предпр</w:t>
      </w:r>
      <w:r>
        <w:rPr>
          <w:rFonts w:ascii="Times New Roman" w:hAnsi="Times New Roman" w:cs="Times New Roman"/>
          <w:sz w:val="28"/>
          <w:szCs w:val="28"/>
        </w:rPr>
        <w:t>иятие, повышение квалификации.</w:t>
      </w:r>
    </w:p>
    <w:bookmarkEnd w:id="0"/>
    <w:p w:rsidR="001259BF" w:rsidRDefault="001259BF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9BF">
        <w:rPr>
          <w:rFonts w:ascii="Times New Roman" w:hAnsi="Times New Roman" w:cs="Times New Roman"/>
          <w:sz w:val="28"/>
          <w:szCs w:val="28"/>
        </w:rPr>
        <w:t xml:space="preserve">Современные промышленные предприятия функционируют в условиях высокой конкуренции, </w:t>
      </w:r>
      <w:proofErr w:type="spellStart"/>
      <w:r w:rsidRPr="001259BF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1259BF">
        <w:rPr>
          <w:rFonts w:ascii="Times New Roman" w:hAnsi="Times New Roman" w:cs="Times New Roman"/>
          <w:sz w:val="28"/>
          <w:szCs w:val="28"/>
        </w:rPr>
        <w:t xml:space="preserve"> производственных процессов и постоянного обновления технологий. В связи с этим существенно возрастает роль административного персонала, который отвечает не только за организацию трудовых процессов, но и за принятие управленческих решений, влияющих на эффективность деятельности предприятия. Важнейшим условием успешного функционирования организации становится наличие у специалистов административного уровня развитой </w:t>
      </w:r>
      <w:r>
        <w:rPr>
          <w:rFonts w:ascii="Times New Roman" w:hAnsi="Times New Roman" w:cs="Times New Roman"/>
          <w:sz w:val="28"/>
          <w:szCs w:val="28"/>
        </w:rPr>
        <w:t>управленческой компетентности.</w:t>
      </w:r>
    </w:p>
    <w:p w:rsidR="00D10244" w:rsidRDefault="00D10244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244">
        <w:rPr>
          <w:rFonts w:ascii="Times New Roman" w:hAnsi="Times New Roman" w:cs="Times New Roman"/>
          <w:sz w:val="28"/>
          <w:szCs w:val="28"/>
        </w:rPr>
        <w:t>В научной литературе управленческая компетентность рассматривается как интегративное качество личности, включающее профессиональные знания, организаторские способности, навыки коммуникации, умение принимать решения и нести ответственность за результаты деятельности [1]. По мнению П. П. Дружинина, управленческая компетентность исторически связывалась с профессионализмом и способностью достигать результата [2]. И. В. Крошкина подчеркивает, что данное понятие наиболее полно раскрывается на стыке педагогики и менеджмента, поскольку эффективный руководитель должен обладать как профессиональными, так и педагогическими навыками взаимодействия с коллективом [3].</w:t>
      </w:r>
    </w:p>
    <w:p w:rsidR="00EC11FC" w:rsidRDefault="001259BF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9BF">
        <w:rPr>
          <w:rFonts w:ascii="Times New Roman" w:hAnsi="Times New Roman" w:cs="Times New Roman"/>
          <w:sz w:val="28"/>
          <w:szCs w:val="28"/>
        </w:rPr>
        <w:t>Современные исследователи выделяют несколько подходов к пониманию</w:t>
      </w:r>
      <w:r w:rsidR="00EC11FC">
        <w:rPr>
          <w:rFonts w:ascii="Times New Roman" w:hAnsi="Times New Roman" w:cs="Times New Roman"/>
          <w:sz w:val="28"/>
          <w:szCs w:val="28"/>
        </w:rPr>
        <w:t xml:space="preserve"> управленческой компетентности (Рисунок 1)</w:t>
      </w:r>
      <w:r w:rsidR="00D10244">
        <w:rPr>
          <w:rFonts w:ascii="Times New Roman" w:hAnsi="Times New Roman" w:cs="Times New Roman"/>
          <w:sz w:val="28"/>
          <w:szCs w:val="28"/>
        </w:rPr>
        <w:t xml:space="preserve"> </w:t>
      </w:r>
      <w:r w:rsidR="00D10244" w:rsidRPr="00007676">
        <w:rPr>
          <w:rFonts w:ascii="Times New Roman" w:hAnsi="Times New Roman" w:cs="Times New Roman"/>
          <w:sz w:val="28"/>
          <w:szCs w:val="28"/>
        </w:rPr>
        <w:t>[4]</w:t>
      </w:r>
      <w:r w:rsidR="00EC11F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C11FC" w:rsidRDefault="00EC11FC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11FC" w:rsidRDefault="00EC11FC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32400" cy="1809750"/>
            <wp:effectExtent l="0" t="0" r="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EC11FC" w:rsidRDefault="00EC11FC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11FC" w:rsidRDefault="00EC11FC" w:rsidP="00EC11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1 – Современные подходы к управленческой компетентности.   </w:t>
      </w:r>
    </w:p>
    <w:p w:rsidR="00EC11FC" w:rsidRDefault="00EC11FC" w:rsidP="00EC11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1259BF" w:rsidRPr="001259BF">
        <w:rPr>
          <w:rFonts w:ascii="Times New Roman" w:hAnsi="Times New Roman" w:cs="Times New Roman"/>
          <w:sz w:val="28"/>
          <w:szCs w:val="28"/>
        </w:rPr>
        <w:t>ичностно-ориентированный подход акцентирует внимание на индивидуальных качествах руководителя: лидерстве, ответственности, стрессоустойчивост</w:t>
      </w:r>
      <w:r>
        <w:rPr>
          <w:rFonts w:ascii="Times New Roman" w:hAnsi="Times New Roman" w:cs="Times New Roman"/>
          <w:sz w:val="28"/>
          <w:szCs w:val="28"/>
        </w:rPr>
        <w:t>и и способности к саморазвитию.</w:t>
      </w:r>
    </w:p>
    <w:p w:rsidR="00EC11FC" w:rsidRDefault="00EC11FC" w:rsidP="00EC11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1259BF" w:rsidRPr="001259BF">
        <w:rPr>
          <w:rFonts w:ascii="Times New Roman" w:hAnsi="Times New Roman" w:cs="Times New Roman"/>
          <w:sz w:val="28"/>
          <w:szCs w:val="28"/>
        </w:rPr>
        <w:t>омпетентностный</w:t>
      </w:r>
      <w:proofErr w:type="spellEnd"/>
      <w:r w:rsidR="001259BF" w:rsidRPr="001259BF">
        <w:rPr>
          <w:rFonts w:ascii="Times New Roman" w:hAnsi="Times New Roman" w:cs="Times New Roman"/>
          <w:sz w:val="28"/>
          <w:szCs w:val="28"/>
        </w:rPr>
        <w:t xml:space="preserve"> подход рассматривает управленческую деятельность через совокупность профессиональных компетенций, необходимых для </w:t>
      </w:r>
      <w:r>
        <w:rPr>
          <w:rFonts w:ascii="Times New Roman" w:hAnsi="Times New Roman" w:cs="Times New Roman"/>
          <w:sz w:val="28"/>
          <w:szCs w:val="28"/>
        </w:rPr>
        <w:t xml:space="preserve">решения производственных задач. </w:t>
      </w:r>
    </w:p>
    <w:p w:rsidR="00EC11FC" w:rsidRDefault="00EC11FC" w:rsidP="00EC11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1259BF" w:rsidRPr="001259BF">
        <w:rPr>
          <w:rFonts w:ascii="Times New Roman" w:hAnsi="Times New Roman" w:cs="Times New Roman"/>
          <w:sz w:val="28"/>
          <w:szCs w:val="28"/>
        </w:rPr>
        <w:t>оммуникативно-деятельностный</w:t>
      </w:r>
      <w:proofErr w:type="spellEnd"/>
      <w:r w:rsidR="001259BF" w:rsidRPr="001259BF">
        <w:rPr>
          <w:rFonts w:ascii="Times New Roman" w:hAnsi="Times New Roman" w:cs="Times New Roman"/>
          <w:sz w:val="28"/>
          <w:szCs w:val="28"/>
        </w:rPr>
        <w:t xml:space="preserve"> подход делает акцент на взаимодействии с коллективом, способности выстраивать эффективные коммуникац</w:t>
      </w:r>
      <w:r>
        <w:rPr>
          <w:rFonts w:ascii="Times New Roman" w:hAnsi="Times New Roman" w:cs="Times New Roman"/>
          <w:sz w:val="28"/>
          <w:szCs w:val="28"/>
        </w:rPr>
        <w:t>ии и мотивировать сотрудников.</w:t>
      </w:r>
    </w:p>
    <w:p w:rsidR="00EC11FC" w:rsidRDefault="001259BF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9BF">
        <w:rPr>
          <w:rFonts w:ascii="Times New Roman" w:hAnsi="Times New Roman" w:cs="Times New Roman"/>
          <w:sz w:val="28"/>
          <w:szCs w:val="28"/>
        </w:rPr>
        <w:t xml:space="preserve">В структуре управленческой компетентности можно </w:t>
      </w:r>
      <w:r w:rsidR="00EC11FC">
        <w:rPr>
          <w:rFonts w:ascii="Times New Roman" w:hAnsi="Times New Roman" w:cs="Times New Roman"/>
          <w:sz w:val="28"/>
          <w:szCs w:val="28"/>
        </w:rPr>
        <w:t>выделить несколько компонентов (Рисунок 2)</w:t>
      </w:r>
      <w:r w:rsidR="00D10244" w:rsidRPr="00007676">
        <w:rPr>
          <w:rFonts w:ascii="Times New Roman" w:hAnsi="Times New Roman" w:cs="Times New Roman"/>
          <w:sz w:val="28"/>
          <w:szCs w:val="28"/>
        </w:rPr>
        <w:t xml:space="preserve"> [5]</w:t>
      </w:r>
      <w:r w:rsidR="00EC11FC">
        <w:rPr>
          <w:rFonts w:ascii="Times New Roman" w:hAnsi="Times New Roman" w:cs="Times New Roman"/>
          <w:sz w:val="28"/>
          <w:szCs w:val="28"/>
        </w:rPr>
        <w:t>.</w:t>
      </w:r>
    </w:p>
    <w:p w:rsidR="00EC11FC" w:rsidRDefault="00EC11FC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11FC" w:rsidRDefault="00EC11FC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32400" cy="1936750"/>
            <wp:effectExtent l="0" t="0" r="0" b="635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EC11FC" w:rsidRDefault="00EC11FC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11FC" w:rsidRDefault="00EC11FC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11FC" w:rsidRDefault="00EC11FC" w:rsidP="00EC11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2 – Компоненты управленческой компетентности.     </w:t>
      </w:r>
    </w:p>
    <w:p w:rsidR="00EC11FC" w:rsidRDefault="00EC11FC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1259BF" w:rsidRPr="001259BF">
        <w:rPr>
          <w:rFonts w:ascii="Times New Roman" w:hAnsi="Times New Roman" w:cs="Times New Roman"/>
          <w:sz w:val="28"/>
          <w:szCs w:val="28"/>
        </w:rPr>
        <w:t>огнитивный компонент включает систему профессиональных знаний в области управления, экономики, пр</w:t>
      </w:r>
      <w:r>
        <w:rPr>
          <w:rFonts w:ascii="Times New Roman" w:hAnsi="Times New Roman" w:cs="Times New Roman"/>
          <w:sz w:val="28"/>
          <w:szCs w:val="28"/>
        </w:rPr>
        <w:t>ава и организации производства.</w:t>
      </w:r>
    </w:p>
    <w:p w:rsidR="00EC11FC" w:rsidRDefault="001259BF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9BF">
        <w:rPr>
          <w:rFonts w:ascii="Times New Roman" w:hAnsi="Times New Roman" w:cs="Times New Roman"/>
          <w:sz w:val="28"/>
          <w:szCs w:val="28"/>
        </w:rPr>
        <w:t xml:space="preserve">Мотивационно-ценностный компонент связан с профессиональной мотивацией, ориентацией на достижение результата и готовностью к постоянному профессиональному развитию. </w:t>
      </w:r>
    </w:p>
    <w:p w:rsidR="00EC11FC" w:rsidRDefault="001259BF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9BF">
        <w:rPr>
          <w:rFonts w:ascii="Times New Roman" w:hAnsi="Times New Roman" w:cs="Times New Roman"/>
          <w:sz w:val="28"/>
          <w:szCs w:val="28"/>
        </w:rPr>
        <w:lastRenderedPageBreak/>
        <w:t xml:space="preserve">Коммуникативный компонент отражает способность выстраивать взаимодействие с коллективом, осуществлять деловое общение и разрешать конфликтные ситуации. </w:t>
      </w:r>
    </w:p>
    <w:p w:rsidR="00EC11FC" w:rsidRDefault="001259BF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259BF">
        <w:rPr>
          <w:rFonts w:ascii="Times New Roman" w:hAnsi="Times New Roman" w:cs="Times New Roman"/>
          <w:sz w:val="28"/>
          <w:szCs w:val="28"/>
        </w:rPr>
        <w:t>Организационно-деятельностный</w:t>
      </w:r>
      <w:proofErr w:type="spellEnd"/>
      <w:r w:rsidRPr="001259BF">
        <w:rPr>
          <w:rFonts w:ascii="Times New Roman" w:hAnsi="Times New Roman" w:cs="Times New Roman"/>
          <w:sz w:val="28"/>
          <w:szCs w:val="28"/>
        </w:rPr>
        <w:t xml:space="preserve"> компонент предполагает наличие навыков планирования, контроля, принятия решен</w:t>
      </w:r>
      <w:r w:rsidR="00EC11FC">
        <w:rPr>
          <w:rFonts w:ascii="Times New Roman" w:hAnsi="Times New Roman" w:cs="Times New Roman"/>
          <w:sz w:val="28"/>
          <w:szCs w:val="28"/>
        </w:rPr>
        <w:t>ий и делегирования полномочий.</w:t>
      </w:r>
    </w:p>
    <w:p w:rsidR="00EC11FC" w:rsidRDefault="001259BF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9BF">
        <w:rPr>
          <w:rFonts w:ascii="Times New Roman" w:hAnsi="Times New Roman" w:cs="Times New Roman"/>
          <w:sz w:val="28"/>
          <w:szCs w:val="28"/>
        </w:rPr>
        <w:t xml:space="preserve">Особую роль в формировании управленческой компетентности играет система внутрифирменного обучения. В современных условиях предприятия уже не могут ограничиваться базовым образованием сотрудников, поскольку производственная среда требует постоянного обновления знаний и профессиональных навыков. Внутрифирменное обучение позволяет адаптировать образовательный процесс к реальным потребностям организации и учитывать специфику </w:t>
      </w:r>
      <w:r w:rsidR="00EC11FC">
        <w:rPr>
          <w:rFonts w:ascii="Times New Roman" w:hAnsi="Times New Roman" w:cs="Times New Roman"/>
          <w:sz w:val="28"/>
          <w:szCs w:val="28"/>
        </w:rPr>
        <w:t>производственной деятельности.</w:t>
      </w:r>
    </w:p>
    <w:p w:rsidR="00EC11FC" w:rsidRDefault="001259BF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9BF">
        <w:rPr>
          <w:rFonts w:ascii="Times New Roman" w:hAnsi="Times New Roman" w:cs="Times New Roman"/>
          <w:sz w:val="28"/>
          <w:szCs w:val="28"/>
        </w:rPr>
        <w:t>Одним из преимуществ внутрифирменного обучения является его практико-ориентированный характер. Специалисты получают возможность решать реальные производственные задачи, участвовать в деловых играх, кейс-чемпионатах, тренингах и проектной деятельности. Подобные формы работы позволяют формировать навыки оперативного принятия решений, развивать лидерские качества и способность эффективно вз</w:t>
      </w:r>
      <w:r w:rsidR="00EC11FC">
        <w:rPr>
          <w:rFonts w:ascii="Times New Roman" w:hAnsi="Times New Roman" w:cs="Times New Roman"/>
          <w:sz w:val="28"/>
          <w:szCs w:val="28"/>
        </w:rPr>
        <w:t>аимодействовать с коллективом.</w:t>
      </w:r>
    </w:p>
    <w:p w:rsidR="00EC11FC" w:rsidRDefault="001259BF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9BF">
        <w:rPr>
          <w:rFonts w:ascii="Times New Roman" w:hAnsi="Times New Roman" w:cs="Times New Roman"/>
          <w:sz w:val="28"/>
          <w:szCs w:val="28"/>
        </w:rPr>
        <w:t>На промышленных предприятиях особое значение имеют программы повышения квалификации, направленные на развитие управленческих компетенций административного персонала. Такие программы включают изучение современных методов управления персоналом, технологий мотивации сотрудников, инструментов проектного управления и основ корпоративной культуры. Кроме того, важным направлением становится формирование навыков работы в условиях неопреде</w:t>
      </w:r>
      <w:r w:rsidR="00EC11FC">
        <w:rPr>
          <w:rFonts w:ascii="Times New Roman" w:hAnsi="Times New Roman" w:cs="Times New Roman"/>
          <w:sz w:val="28"/>
          <w:szCs w:val="28"/>
        </w:rPr>
        <w:t>ленности и кризисных ситуаций.</w:t>
      </w:r>
    </w:p>
    <w:p w:rsidR="00EC11FC" w:rsidRDefault="001259BF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9BF">
        <w:rPr>
          <w:rFonts w:ascii="Times New Roman" w:hAnsi="Times New Roman" w:cs="Times New Roman"/>
          <w:sz w:val="28"/>
          <w:szCs w:val="28"/>
        </w:rPr>
        <w:t xml:space="preserve">Практика показывает, что эффективное внутрифирменное обучение способствует повышению производительности труда, улучшению организационного климата и снижению уровня профессионального выгорания сотрудников. Руководители, обладающие высоким уровнем управленческой компетентности, способны не только организовать работу коллектива, но и создать условия для профессионального роста работников, формирования благоприятной корпоративной среды и </w:t>
      </w:r>
      <w:r w:rsidR="00EC11FC">
        <w:rPr>
          <w:rFonts w:ascii="Times New Roman" w:hAnsi="Times New Roman" w:cs="Times New Roman"/>
          <w:sz w:val="28"/>
          <w:szCs w:val="28"/>
        </w:rPr>
        <w:t>повышения мотивации персонала.</w:t>
      </w:r>
    </w:p>
    <w:p w:rsidR="00EC11FC" w:rsidRDefault="001259BF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9BF">
        <w:rPr>
          <w:rFonts w:ascii="Times New Roman" w:hAnsi="Times New Roman" w:cs="Times New Roman"/>
          <w:sz w:val="28"/>
          <w:szCs w:val="28"/>
        </w:rPr>
        <w:t>Следует отметить, что формирование управленческой компетентности представляет собой непрерывный процесс. Современный руководитель должен постоянно совершенствовать свои знания, осваивать новые технологии управления и адаптироваться к изменениям внешней среды. В этой связи внутрифирменное обучение становится неотъемлемой частью кадровой политики предприятия и важнейшим фактором обеспече</w:t>
      </w:r>
      <w:r w:rsidR="00EC11FC">
        <w:rPr>
          <w:rFonts w:ascii="Times New Roman" w:hAnsi="Times New Roman" w:cs="Times New Roman"/>
          <w:sz w:val="28"/>
          <w:szCs w:val="28"/>
        </w:rPr>
        <w:t>ния его конкурентоспособности.</w:t>
      </w:r>
    </w:p>
    <w:p w:rsidR="001259BF" w:rsidRDefault="001259BF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9BF">
        <w:rPr>
          <w:rFonts w:ascii="Times New Roman" w:hAnsi="Times New Roman" w:cs="Times New Roman"/>
          <w:sz w:val="28"/>
          <w:szCs w:val="28"/>
        </w:rPr>
        <w:t xml:space="preserve">Таким образом, управленческая компетентность специалистов административного уровня является важнейшим условием эффективного </w:t>
      </w:r>
      <w:r w:rsidRPr="001259BF">
        <w:rPr>
          <w:rFonts w:ascii="Times New Roman" w:hAnsi="Times New Roman" w:cs="Times New Roman"/>
          <w:sz w:val="28"/>
          <w:szCs w:val="28"/>
        </w:rPr>
        <w:lastRenderedPageBreak/>
        <w:t>функционирования промышленного предприятия. Система внутрифирменного обучения обеспечивает развитие профессиональных, коммуникативных и организационных навыков сотрудников, способствует повышению качества управленческих решений и формированию ка</w:t>
      </w:r>
      <w:r w:rsidR="00EC11FC">
        <w:rPr>
          <w:rFonts w:ascii="Times New Roman" w:hAnsi="Times New Roman" w:cs="Times New Roman"/>
          <w:sz w:val="28"/>
          <w:szCs w:val="28"/>
        </w:rPr>
        <w:t>дрового потенциала организации.</w:t>
      </w:r>
    </w:p>
    <w:p w:rsidR="00D10244" w:rsidRDefault="00D10244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0244" w:rsidRDefault="00D10244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0244">
        <w:rPr>
          <w:rFonts w:ascii="Times New Roman" w:hAnsi="Times New Roman" w:cs="Times New Roman"/>
          <w:sz w:val="24"/>
          <w:szCs w:val="24"/>
        </w:rPr>
        <w:t xml:space="preserve">Список литературы. </w:t>
      </w:r>
    </w:p>
    <w:p w:rsidR="00D10244" w:rsidRPr="00D10244" w:rsidRDefault="00D10244" w:rsidP="00125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0244" w:rsidRPr="00D10244" w:rsidRDefault="00D10244" w:rsidP="00D10244">
      <w:pPr>
        <w:pStyle w:val="a4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0244">
        <w:rPr>
          <w:rFonts w:ascii="Times New Roman" w:hAnsi="Times New Roman" w:cs="Times New Roman"/>
          <w:sz w:val="24"/>
          <w:szCs w:val="24"/>
        </w:rPr>
        <w:t xml:space="preserve">Боровикова, Т. В. Управленческая компетентность: сущность, структура, критерии / Т. В. Боровикова // </w:t>
      </w:r>
      <w:proofErr w:type="spellStart"/>
      <w:r w:rsidRPr="00D10244">
        <w:rPr>
          <w:rFonts w:ascii="Times New Roman" w:hAnsi="Times New Roman" w:cs="Times New Roman"/>
          <w:sz w:val="24"/>
          <w:szCs w:val="24"/>
        </w:rPr>
        <w:t>Гуманитариум</w:t>
      </w:r>
      <w:proofErr w:type="spellEnd"/>
      <w:r w:rsidRPr="00D10244">
        <w:rPr>
          <w:rFonts w:ascii="Times New Roman" w:hAnsi="Times New Roman" w:cs="Times New Roman"/>
          <w:sz w:val="24"/>
          <w:szCs w:val="24"/>
        </w:rPr>
        <w:t xml:space="preserve">. — 2017. — № 4 (5). — С. 4–7. — ISSN 2500-1337. </w:t>
      </w:r>
    </w:p>
    <w:p w:rsidR="00D10244" w:rsidRPr="00D10244" w:rsidRDefault="00D10244" w:rsidP="00D10244">
      <w:pPr>
        <w:pStyle w:val="a4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0244">
        <w:rPr>
          <w:rFonts w:ascii="Times New Roman" w:hAnsi="Times New Roman" w:cs="Times New Roman"/>
          <w:sz w:val="24"/>
          <w:szCs w:val="24"/>
        </w:rPr>
        <w:t xml:space="preserve">Дружинин, П. П. Управленческая компетентность как понятие: возникновение и развитие / П. П. Дружинин // Аллея науки. — 2018. — Т. 8, № 11. — С. 833–836. — ISSN 2587-6244. </w:t>
      </w:r>
    </w:p>
    <w:p w:rsidR="00D10244" w:rsidRPr="00D10244" w:rsidRDefault="00D10244" w:rsidP="00D10244">
      <w:pPr>
        <w:pStyle w:val="a4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0244">
        <w:rPr>
          <w:rFonts w:ascii="Times New Roman" w:hAnsi="Times New Roman" w:cs="Times New Roman"/>
          <w:sz w:val="24"/>
          <w:szCs w:val="24"/>
        </w:rPr>
        <w:t>Крошкина, И. В. Понятие управленческой компетентности руководителя / И. В. Крошкина // Теория и практика современных гуманитарных и естественных наук</w:t>
      </w:r>
      <w:proofErr w:type="gramStart"/>
      <w:r w:rsidRPr="00D1024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10244">
        <w:rPr>
          <w:rFonts w:ascii="Times New Roman" w:hAnsi="Times New Roman" w:cs="Times New Roman"/>
          <w:sz w:val="24"/>
          <w:szCs w:val="24"/>
        </w:rPr>
        <w:t xml:space="preserve"> сборник научных статей ежегодной межрегиональной научно-практической конференции / отв. ред. В. В. Федоров, Р. И. Паровик. — Петропавловск-Камчатский</w:t>
      </w:r>
      <w:proofErr w:type="gramStart"/>
      <w:r w:rsidRPr="00D1024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10244">
        <w:rPr>
          <w:rFonts w:ascii="Times New Roman" w:hAnsi="Times New Roman" w:cs="Times New Roman"/>
          <w:sz w:val="24"/>
          <w:szCs w:val="24"/>
        </w:rPr>
        <w:t xml:space="preserve"> Камчатский государственный университет имени </w:t>
      </w:r>
      <w:proofErr w:type="spellStart"/>
      <w:r w:rsidRPr="00D10244">
        <w:rPr>
          <w:rFonts w:ascii="Times New Roman" w:hAnsi="Times New Roman" w:cs="Times New Roman"/>
          <w:sz w:val="24"/>
          <w:szCs w:val="24"/>
        </w:rPr>
        <w:t>Витуса</w:t>
      </w:r>
      <w:proofErr w:type="spellEnd"/>
      <w:r w:rsidRPr="00D10244">
        <w:rPr>
          <w:rFonts w:ascii="Times New Roman" w:hAnsi="Times New Roman" w:cs="Times New Roman"/>
          <w:sz w:val="24"/>
          <w:szCs w:val="24"/>
        </w:rPr>
        <w:t xml:space="preserve"> Беринга, 2016. </w:t>
      </w:r>
    </w:p>
    <w:p w:rsidR="00D10244" w:rsidRPr="00D10244" w:rsidRDefault="00D10244" w:rsidP="00D10244">
      <w:pPr>
        <w:pStyle w:val="a4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0244">
        <w:rPr>
          <w:rFonts w:ascii="Times New Roman" w:hAnsi="Times New Roman" w:cs="Times New Roman"/>
          <w:sz w:val="24"/>
          <w:szCs w:val="24"/>
        </w:rPr>
        <w:t>Дудаев, Г. С. Х. Методологические подходы к формированию управленческой компетентности / Г. С. Х. Дудаев // Перспективы развития научных исследований в XXI веке</w:t>
      </w:r>
      <w:proofErr w:type="gramStart"/>
      <w:r w:rsidRPr="00D1024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10244">
        <w:rPr>
          <w:rFonts w:ascii="Times New Roman" w:hAnsi="Times New Roman" w:cs="Times New Roman"/>
          <w:sz w:val="24"/>
          <w:szCs w:val="24"/>
        </w:rPr>
        <w:t xml:space="preserve"> сборник материалов XV Международной научно-практической конференции (Махачкала, 29 октября 2017 г.). — Махачкала</w:t>
      </w:r>
      <w:proofErr w:type="gramStart"/>
      <w:r w:rsidRPr="00D1024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10244">
        <w:rPr>
          <w:rFonts w:ascii="Times New Roman" w:hAnsi="Times New Roman" w:cs="Times New Roman"/>
          <w:sz w:val="24"/>
          <w:szCs w:val="24"/>
        </w:rPr>
        <w:t xml:space="preserve"> ООО «Апробация», 2017. — С. 90–92. </w:t>
      </w:r>
    </w:p>
    <w:p w:rsidR="00EC11FC" w:rsidRPr="00D10244" w:rsidRDefault="00D10244" w:rsidP="00D10244">
      <w:pPr>
        <w:pStyle w:val="a4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0244">
        <w:rPr>
          <w:rFonts w:ascii="Times New Roman" w:hAnsi="Times New Roman" w:cs="Times New Roman"/>
          <w:sz w:val="24"/>
          <w:szCs w:val="24"/>
        </w:rPr>
        <w:t>Савельева, С. С. Управленческая компетентность современного руководителя / С. С. Савельева // Современные векторы в образовании: теория и практика</w:t>
      </w:r>
      <w:proofErr w:type="gramStart"/>
      <w:r w:rsidRPr="00D1024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10244">
        <w:rPr>
          <w:rFonts w:ascii="Times New Roman" w:hAnsi="Times New Roman" w:cs="Times New Roman"/>
          <w:sz w:val="24"/>
          <w:szCs w:val="24"/>
        </w:rPr>
        <w:t xml:space="preserve"> сборник материалов III Всероссийской научно-практической конференции (Коломна, 24 декабря 2021 г.) / под ред. [Ф. И. О. редколлегии]. — Коломна</w:t>
      </w:r>
      <w:proofErr w:type="gramStart"/>
      <w:r w:rsidRPr="00D1024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10244">
        <w:rPr>
          <w:rFonts w:ascii="Times New Roman" w:hAnsi="Times New Roman" w:cs="Times New Roman"/>
          <w:sz w:val="24"/>
          <w:szCs w:val="24"/>
        </w:rPr>
        <w:t xml:space="preserve"> Государственный социально-гуманитарный университет, 2022.</w:t>
      </w:r>
    </w:p>
    <w:sectPr w:rsidR="00EC11FC" w:rsidRPr="00D10244" w:rsidSect="002D5D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370C2"/>
    <w:multiLevelType w:val="hybridMultilevel"/>
    <w:tmpl w:val="00A658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983483"/>
    <w:multiLevelType w:val="hybridMultilevel"/>
    <w:tmpl w:val="7A8489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5075E5C"/>
    <w:multiLevelType w:val="hybridMultilevel"/>
    <w:tmpl w:val="96D25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314DDC"/>
    <w:multiLevelType w:val="hybridMultilevel"/>
    <w:tmpl w:val="754A2F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59BF"/>
    <w:rsid w:val="00007676"/>
    <w:rsid w:val="001259BF"/>
    <w:rsid w:val="002D5D10"/>
    <w:rsid w:val="00BB5CAE"/>
    <w:rsid w:val="00D10244"/>
    <w:rsid w:val="00EC11FC"/>
    <w:rsid w:val="00FC0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D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259B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1024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07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76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1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5" Type="http://schemas.openxmlformats.org/officeDocument/2006/relationships/diagramData" Target="diagrams/data1.xml"/><Relationship Id="rId15" Type="http://schemas.openxmlformats.org/officeDocument/2006/relationships/fontTable" Target="fontTable.xml"/><Relationship Id="rId10" Type="http://schemas.openxmlformats.org/officeDocument/2006/relationships/diagramData" Target="diagrams/data2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F868A86-A542-4308-86DA-C0D6733F7C23}" type="doc">
      <dgm:prSet loTypeId="urn:microsoft.com/office/officeart/2005/8/layout/pyramid2" loCatId="list" qsTypeId="urn:microsoft.com/office/officeart/2005/8/quickstyle/simple1" qsCatId="simple" csTypeId="urn:microsoft.com/office/officeart/2005/8/colors/accent1_2" csCatId="accent1" phldr="1"/>
      <dgm:spPr/>
    </dgm:pt>
    <dgm:pt modelId="{F7FB3DF3-0865-468E-A4B4-218D1B74FE55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Личностно-ориентированный </a:t>
          </a:r>
        </a:p>
      </dgm:t>
    </dgm:pt>
    <dgm:pt modelId="{01FBAC70-F75F-4DFF-B880-D1477F56595D}" type="parTrans" cxnId="{9E3EE196-D671-417E-939D-F4103AEBAAD1}">
      <dgm:prSet/>
      <dgm:spPr/>
      <dgm:t>
        <a:bodyPr/>
        <a:lstStyle/>
        <a:p>
          <a:endParaRPr lang="ru-RU"/>
        </a:p>
      </dgm:t>
    </dgm:pt>
    <dgm:pt modelId="{82B3127F-28F2-4371-A01F-3EAFFE2AEE7F}" type="sibTrans" cxnId="{9E3EE196-D671-417E-939D-F4103AEBAAD1}">
      <dgm:prSet/>
      <dgm:spPr/>
      <dgm:t>
        <a:bodyPr/>
        <a:lstStyle/>
        <a:p>
          <a:endParaRPr lang="ru-RU"/>
        </a:p>
      </dgm:t>
    </dgm:pt>
    <dgm:pt modelId="{2E84A7FD-1CE5-4DAC-B762-F1F8BE118BAB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Компетентностный</a:t>
          </a:r>
        </a:p>
      </dgm:t>
    </dgm:pt>
    <dgm:pt modelId="{CECE1A6F-FAE3-4EB4-A36C-97FBBD853112}" type="parTrans" cxnId="{24B423C9-4199-4E61-B3FB-B8F21A8BE6AB}">
      <dgm:prSet/>
      <dgm:spPr/>
      <dgm:t>
        <a:bodyPr/>
        <a:lstStyle/>
        <a:p>
          <a:endParaRPr lang="ru-RU"/>
        </a:p>
      </dgm:t>
    </dgm:pt>
    <dgm:pt modelId="{D19CA011-68AE-4E6A-A896-DC2953583D29}" type="sibTrans" cxnId="{24B423C9-4199-4E61-B3FB-B8F21A8BE6AB}">
      <dgm:prSet/>
      <dgm:spPr/>
      <dgm:t>
        <a:bodyPr/>
        <a:lstStyle/>
        <a:p>
          <a:endParaRPr lang="ru-RU"/>
        </a:p>
      </dgm:t>
    </dgm:pt>
    <dgm:pt modelId="{CB8D80D7-24C7-4EB4-8DF8-3CF92DA0D83C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Коммуникативно-деятельностный</a:t>
          </a:r>
        </a:p>
      </dgm:t>
    </dgm:pt>
    <dgm:pt modelId="{2772D601-6203-4767-BD75-42A0E5E6753D}" type="parTrans" cxnId="{2B5AE5DB-DD82-4536-96EA-A2CDB9AABC89}">
      <dgm:prSet/>
      <dgm:spPr/>
      <dgm:t>
        <a:bodyPr/>
        <a:lstStyle/>
        <a:p>
          <a:endParaRPr lang="ru-RU"/>
        </a:p>
      </dgm:t>
    </dgm:pt>
    <dgm:pt modelId="{75ED43FB-1C2B-439E-B69C-FAA12C3EE1E8}" type="sibTrans" cxnId="{2B5AE5DB-DD82-4536-96EA-A2CDB9AABC89}">
      <dgm:prSet/>
      <dgm:spPr/>
      <dgm:t>
        <a:bodyPr/>
        <a:lstStyle/>
        <a:p>
          <a:endParaRPr lang="ru-RU"/>
        </a:p>
      </dgm:t>
    </dgm:pt>
    <dgm:pt modelId="{D8512525-DC54-46C2-A017-98B107D37BED}" type="pres">
      <dgm:prSet presAssocID="{2F868A86-A542-4308-86DA-C0D6733F7C23}" presName="compositeShape" presStyleCnt="0">
        <dgm:presLayoutVars>
          <dgm:dir/>
          <dgm:resizeHandles/>
        </dgm:presLayoutVars>
      </dgm:prSet>
      <dgm:spPr/>
    </dgm:pt>
    <dgm:pt modelId="{400F449D-9EE1-4DD9-8F1A-191481E1BA4B}" type="pres">
      <dgm:prSet presAssocID="{2F868A86-A542-4308-86DA-C0D6733F7C23}" presName="pyramid" presStyleLbl="node1" presStyleIdx="0" presStyleCnt="1"/>
      <dgm:spPr/>
      <dgm:t>
        <a:bodyPr/>
        <a:lstStyle/>
        <a:p>
          <a:endParaRPr lang="ru-RU"/>
        </a:p>
      </dgm:t>
    </dgm:pt>
    <dgm:pt modelId="{4F92B799-3268-4AB2-A766-D412DAF5C8A7}" type="pres">
      <dgm:prSet presAssocID="{2F868A86-A542-4308-86DA-C0D6733F7C23}" presName="theList" presStyleCnt="0"/>
      <dgm:spPr/>
    </dgm:pt>
    <dgm:pt modelId="{62F7FF46-A103-447F-8345-80C03CB64417}" type="pres">
      <dgm:prSet presAssocID="{F7FB3DF3-0865-468E-A4B4-218D1B74FE55}" presName="aNode" presStyleLbl="fgAcc1" presStyleIdx="0" presStyleCnt="3" custScaleX="16365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063A2D7-08D8-4DA6-99C8-B8F4EB513266}" type="pres">
      <dgm:prSet presAssocID="{F7FB3DF3-0865-468E-A4B4-218D1B74FE55}" presName="aSpace" presStyleCnt="0"/>
      <dgm:spPr/>
    </dgm:pt>
    <dgm:pt modelId="{71094631-61A5-4BC3-A289-FE71C50EBDC0}" type="pres">
      <dgm:prSet presAssocID="{2E84A7FD-1CE5-4DAC-B762-F1F8BE118BAB}" presName="aNode" presStyleLbl="fgAcc1" presStyleIdx="1" presStyleCnt="3" custScaleX="16322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129C2FD-928F-4C82-B4E3-219E4FB67560}" type="pres">
      <dgm:prSet presAssocID="{2E84A7FD-1CE5-4DAC-B762-F1F8BE118BAB}" presName="aSpace" presStyleCnt="0"/>
      <dgm:spPr/>
    </dgm:pt>
    <dgm:pt modelId="{900BA6C0-8C64-4EE2-B04B-18E6AB93B9D0}" type="pres">
      <dgm:prSet presAssocID="{CB8D80D7-24C7-4EB4-8DF8-3CF92DA0D83C}" presName="aNode" presStyleLbl="fgAcc1" presStyleIdx="2" presStyleCnt="3" custScaleX="16003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0D220DF-D2A1-4F95-83DF-EC883891ECAF}" type="pres">
      <dgm:prSet presAssocID="{CB8D80D7-24C7-4EB4-8DF8-3CF92DA0D83C}" presName="aSpace" presStyleCnt="0"/>
      <dgm:spPr/>
    </dgm:pt>
  </dgm:ptLst>
  <dgm:cxnLst>
    <dgm:cxn modelId="{24B423C9-4199-4E61-B3FB-B8F21A8BE6AB}" srcId="{2F868A86-A542-4308-86DA-C0D6733F7C23}" destId="{2E84A7FD-1CE5-4DAC-B762-F1F8BE118BAB}" srcOrd="1" destOrd="0" parTransId="{CECE1A6F-FAE3-4EB4-A36C-97FBBD853112}" sibTransId="{D19CA011-68AE-4E6A-A896-DC2953583D29}"/>
    <dgm:cxn modelId="{2B5AE5DB-DD82-4536-96EA-A2CDB9AABC89}" srcId="{2F868A86-A542-4308-86DA-C0D6733F7C23}" destId="{CB8D80D7-24C7-4EB4-8DF8-3CF92DA0D83C}" srcOrd="2" destOrd="0" parTransId="{2772D601-6203-4767-BD75-42A0E5E6753D}" sibTransId="{75ED43FB-1C2B-439E-B69C-FAA12C3EE1E8}"/>
    <dgm:cxn modelId="{6818812D-4BC8-4528-AF0B-823CD91F0A42}" type="presOf" srcId="{F7FB3DF3-0865-468E-A4B4-218D1B74FE55}" destId="{62F7FF46-A103-447F-8345-80C03CB64417}" srcOrd="0" destOrd="0" presId="urn:microsoft.com/office/officeart/2005/8/layout/pyramid2"/>
    <dgm:cxn modelId="{BD84785F-E077-4948-9873-ECC5EC7014B9}" type="presOf" srcId="{CB8D80D7-24C7-4EB4-8DF8-3CF92DA0D83C}" destId="{900BA6C0-8C64-4EE2-B04B-18E6AB93B9D0}" srcOrd="0" destOrd="0" presId="urn:microsoft.com/office/officeart/2005/8/layout/pyramid2"/>
    <dgm:cxn modelId="{B2E22366-AD6F-4401-88DF-599821000A03}" type="presOf" srcId="{2F868A86-A542-4308-86DA-C0D6733F7C23}" destId="{D8512525-DC54-46C2-A017-98B107D37BED}" srcOrd="0" destOrd="0" presId="urn:microsoft.com/office/officeart/2005/8/layout/pyramid2"/>
    <dgm:cxn modelId="{9E3EE196-D671-417E-939D-F4103AEBAAD1}" srcId="{2F868A86-A542-4308-86DA-C0D6733F7C23}" destId="{F7FB3DF3-0865-468E-A4B4-218D1B74FE55}" srcOrd="0" destOrd="0" parTransId="{01FBAC70-F75F-4DFF-B880-D1477F56595D}" sibTransId="{82B3127F-28F2-4371-A01F-3EAFFE2AEE7F}"/>
    <dgm:cxn modelId="{C93089FD-CE6A-4534-8DE6-4D65BE51DCAD}" type="presOf" srcId="{2E84A7FD-1CE5-4DAC-B762-F1F8BE118BAB}" destId="{71094631-61A5-4BC3-A289-FE71C50EBDC0}" srcOrd="0" destOrd="0" presId="urn:microsoft.com/office/officeart/2005/8/layout/pyramid2"/>
    <dgm:cxn modelId="{BF72981C-806E-4AFB-BE4F-699D4DAC2A4D}" type="presParOf" srcId="{D8512525-DC54-46C2-A017-98B107D37BED}" destId="{400F449D-9EE1-4DD9-8F1A-191481E1BA4B}" srcOrd="0" destOrd="0" presId="urn:microsoft.com/office/officeart/2005/8/layout/pyramid2"/>
    <dgm:cxn modelId="{496D2EE8-F3FC-4D6A-86FD-6CED58A5CCE5}" type="presParOf" srcId="{D8512525-DC54-46C2-A017-98B107D37BED}" destId="{4F92B799-3268-4AB2-A766-D412DAF5C8A7}" srcOrd="1" destOrd="0" presId="urn:microsoft.com/office/officeart/2005/8/layout/pyramid2"/>
    <dgm:cxn modelId="{F53B1CBD-73C8-4201-8479-298C74116A0C}" type="presParOf" srcId="{4F92B799-3268-4AB2-A766-D412DAF5C8A7}" destId="{62F7FF46-A103-447F-8345-80C03CB64417}" srcOrd="0" destOrd="0" presId="urn:microsoft.com/office/officeart/2005/8/layout/pyramid2"/>
    <dgm:cxn modelId="{9F3C4A21-A74B-441F-94C7-52573825E489}" type="presParOf" srcId="{4F92B799-3268-4AB2-A766-D412DAF5C8A7}" destId="{B063A2D7-08D8-4DA6-99C8-B8F4EB513266}" srcOrd="1" destOrd="0" presId="urn:microsoft.com/office/officeart/2005/8/layout/pyramid2"/>
    <dgm:cxn modelId="{39482D0C-4DFF-4C9B-9151-7CECB9F9D554}" type="presParOf" srcId="{4F92B799-3268-4AB2-A766-D412DAF5C8A7}" destId="{71094631-61A5-4BC3-A289-FE71C50EBDC0}" srcOrd="2" destOrd="0" presId="urn:microsoft.com/office/officeart/2005/8/layout/pyramid2"/>
    <dgm:cxn modelId="{8F2319A0-2B56-45A7-AD4C-7EA8C80209D4}" type="presParOf" srcId="{4F92B799-3268-4AB2-A766-D412DAF5C8A7}" destId="{6129C2FD-928F-4C82-B4E3-219E4FB67560}" srcOrd="3" destOrd="0" presId="urn:microsoft.com/office/officeart/2005/8/layout/pyramid2"/>
    <dgm:cxn modelId="{037D2005-8C6D-4057-B4A4-EAE891379BEA}" type="presParOf" srcId="{4F92B799-3268-4AB2-A766-D412DAF5C8A7}" destId="{900BA6C0-8C64-4EE2-B04B-18E6AB93B9D0}" srcOrd="4" destOrd="0" presId="urn:microsoft.com/office/officeart/2005/8/layout/pyramid2"/>
    <dgm:cxn modelId="{6E7679C6-FA03-48C1-988E-F9AE1E1954D5}" type="presParOf" srcId="{4F92B799-3268-4AB2-A766-D412DAF5C8A7}" destId="{B0D220DF-D2A1-4F95-83DF-EC883891ECAF}" srcOrd="5" destOrd="0" presId="urn:microsoft.com/office/officeart/2005/8/layout/pyramid2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F868A86-A542-4308-86DA-C0D6733F7C23}" type="doc">
      <dgm:prSet loTypeId="urn:microsoft.com/office/officeart/2005/8/layout/pyramid2" loCatId="list" qsTypeId="urn:microsoft.com/office/officeart/2005/8/quickstyle/simple1" qsCatId="simple" csTypeId="urn:microsoft.com/office/officeart/2005/8/colors/accent1_2" csCatId="accent1" phldr="1"/>
      <dgm:spPr/>
    </dgm:pt>
    <dgm:pt modelId="{F7FB3DF3-0865-468E-A4B4-218D1B74FE55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Когнитивный</a:t>
          </a:r>
        </a:p>
      </dgm:t>
    </dgm:pt>
    <dgm:pt modelId="{01FBAC70-F75F-4DFF-B880-D1477F56595D}" type="parTrans" cxnId="{9E3EE196-D671-417E-939D-F4103AEBAAD1}">
      <dgm:prSet/>
      <dgm:spPr/>
      <dgm:t>
        <a:bodyPr/>
        <a:lstStyle/>
        <a:p>
          <a:endParaRPr lang="ru-RU"/>
        </a:p>
      </dgm:t>
    </dgm:pt>
    <dgm:pt modelId="{82B3127F-28F2-4371-A01F-3EAFFE2AEE7F}" type="sibTrans" cxnId="{9E3EE196-D671-417E-939D-F4103AEBAAD1}">
      <dgm:prSet/>
      <dgm:spPr/>
      <dgm:t>
        <a:bodyPr/>
        <a:lstStyle/>
        <a:p>
          <a:endParaRPr lang="ru-RU"/>
        </a:p>
      </dgm:t>
    </dgm:pt>
    <dgm:pt modelId="{2E84A7FD-1CE5-4DAC-B762-F1F8BE118BAB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Мотивационно-ценностный </a:t>
          </a:r>
        </a:p>
      </dgm:t>
    </dgm:pt>
    <dgm:pt modelId="{CECE1A6F-FAE3-4EB4-A36C-97FBBD853112}" type="parTrans" cxnId="{24B423C9-4199-4E61-B3FB-B8F21A8BE6AB}">
      <dgm:prSet/>
      <dgm:spPr/>
      <dgm:t>
        <a:bodyPr/>
        <a:lstStyle/>
        <a:p>
          <a:endParaRPr lang="ru-RU"/>
        </a:p>
      </dgm:t>
    </dgm:pt>
    <dgm:pt modelId="{D19CA011-68AE-4E6A-A896-DC2953583D29}" type="sibTrans" cxnId="{24B423C9-4199-4E61-B3FB-B8F21A8BE6AB}">
      <dgm:prSet/>
      <dgm:spPr/>
      <dgm:t>
        <a:bodyPr/>
        <a:lstStyle/>
        <a:p>
          <a:endParaRPr lang="ru-RU"/>
        </a:p>
      </dgm:t>
    </dgm:pt>
    <dgm:pt modelId="{CB8D80D7-24C7-4EB4-8DF8-3CF92DA0D83C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Коммуникативный</a:t>
          </a:r>
        </a:p>
      </dgm:t>
    </dgm:pt>
    <dgm:pt modelId="{2772D601-6203-4767-BD75-42A0E5E6753D}" type="parTrans" cxnId="{2B5AE5DB-DD82-4536-96EA-A2CDB9AABC89}">
      <dgm:prSet/>
      <dgm:spPr/>
      <dgm:t>
        <a:bodyPr/>
        <a:lstStyle/>
        <a:p>
          <a:endParaRPr lang="ru-RU"/>
        </a:p>
      </dgm:t>
    </dgm:pt>
    <dgm:pt modelId="{75ED43FB-1C2B-439E-B69C-FAA12C3EE1E8}" type="sibTrans" cxnId="{2B5AE5DB-DD82-4536-96EA-A2CDB9AABC89}">
      <dgm:prSet/>
      <dgm:spPr/>
      <dgm:t>
        <a:bodyPr/>
        <a:lstStyle/>
        <a:p>
          <a:endParaRPr lang="ru-RU"/>
        </a:p>
      </dgm:t>
    </dgm:pt>
    <dgm:pt modelId="{1B6117CC-F69E-4E22-9782-633E3111C2F6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Организационно-деятельностный</a:t>
          </a:r>
          <a:r>
            <a:rPr lang="ru-RU" sz="1100"/>
            <a:t> </a:t>
          </a:r>
          <a:endParaRPr lang="ru-RU" sz="11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6AFE338-3657-4890-9420-942A6AC1B850}" type="parTrans" cxnId="{BD605DE7-B2D4-4D1C-BC56-2D6340ED1514}">
      <dgm:prSet/>
      <dgm:spPr/>
      <dgm:t>
        <a:bodyPr/>
        <a:lstStyle/>
        <a:p>
          <a:endParaRPr lang="ru-RU"/>
        </a:p>
      </dgm:t>
    </dgm:pt>
    <dgm:pt modelId="{AA8CC26B-7974-4DC2-BE85-F631E1D63EF9}" type="sibTrans" cxnId="{BD605DE7-B2D4-4D1C-BC56-2D6340ED1514}">
      <dgm:prSet/>
      <dgm:spPr/>
      <dgm:t>
        <a:bodyPr/>
        <a:lstStyle/>
        <a:p>
          <a:endParaRPr lang="ru-RU"/>
        </a:p>
      </dgm:t>
    </dgm:pt>
    <dgm:pt modelId="{D8512525-DC54-46C2-A017-98B107D37BED}" type="pres">
      <dgm:prSet presAssocID="{2F868A86-A542-4308-86DA-C0D6733F7C23}" presName="compositeShape" presStyleCnt="0">
        <dgm:presLayoutVars>
          <dgm:dir/>
          <dgm:resizeHandles/>
        </dgm:presLayoutVars>
      </dgm:prSet>
      <dgm:spPr/>
    </dgm:pt>
    <dgm:pt modelId="{400F449D-9EE1-4DD9-8F1A-191481E1BA4B}" type="pres">
      <dgm:prSet presAssocID="{2F868A86-A542-4308-86DA-C0D6733F7C23}" presName="pyramid" presStyleLbl="node1" presStyleIdx="0" presStyleCnt="1"/>
      <dgm:spPr/>
      <dgm:t>
        <a:bodyPr/>
        <a:lstStyle/>
        <a:p>
          <a:endParaRPr lang="ru-RU"/>
        </a:p>
      </dgm:t>
    </dgm:pt>
    <dgm:pt modelId="{4F92B799-3268-4AB2-A766-D412DAF5C8A7}" type="pres">
      <dgm:prSet presAssocID="{2F868A86-A542-4308-86DA-C0D6733F7C23}" presName="theList" presStyleCnt="0"/>
      <dgm:spPr/>
    </dgm:pt>
    <dgm:pt modelId="{62F7FF46-A103-447F-8345-80C03CB64417}" type="pres">
      <dgm:prSet presAssocID="{F7FB3DF3-0865-468E-A4B4-218D1B74FE55}" presName="aNode" presStyleLbl="fgAcc1" presStyleIdx="0" presStyleCnt="4" custScaleX="16365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063A2D7-08D8-4DA6-99C8-B8F4EB513266}" type="pres">
      <dgm:prSet presAssocID="{F7FB3DF3-0865-468E-A4B4-218D1B74FE55}" presName="aSpace" presStyleCnt="0"/>
      <dgm:spPr/>
    </dgm:pt>
    <dgm:pt modelId="{71094631-61A5-4BC3-A289-FE71C50EBDC0}" type="pres">
      <dgm:prSet presAssocID="{2E84A7FD-1CE5-4DAC-B762-F1F8BE118BAB}" presName="aNode" presStyleLbl="fgAcc1" presStyleIdx="1" presStyleCnt="4" custScaleX="16322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129C2FD-928F-4C82-B4E3-219E4FB67560}" type="pres">
      <dgm:prSet presAssocID="{2E84A7FD-1CE5-4DAC-B762-F1F8BE118BAB}" presName="aSpace" presStyleCnt="0"/>
      <dgm:spPr/>
    </dgm:pt>
    <dgm:pt modelId="{900BA6C0-8C64-4EE2-B04B-18E6AB93B9D0}" type="pres">
      <dgm:prSet presAssocID="{CB8D80D7-24C7-4EB4-8DF8-3CF92DA0D83C}" presName="aNode" presStyleLbl="fgAcc1" presStyleIdx="2" presStyleCnt="4" custScaleX="16574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0D220DF-D2A1-4F95-83DF-EC883891ECAF}" type="pres">
      <dgm:prSet presAssocID="{CB8D80D7-24C7-4EB4-8DF8-3CF92DA0D83C}" presName="aSpace" presStyleCnt="0"/>
      <dgm:spPr/>
    </dgm:pt>
    <dgm:pt modelId="{D551EEC0-F69B-4D2B-A7F9-4FCA14588CC2}" type="pres">
      <dgm:prSet presAssocID="{1B6117CC-F69E-4E22-9782-633E3111C2F6}" presName="aNode" presStyleLbl="fgAcc1" presStyleIdx="3" presStyleCnt="4" custScaleX="16679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793CFB4-03BE-488E-81E7-6E903FDFF3D4}" type="pres">
      <dgm:prSet presAssocID="{1B6117CC-F69E-4E22-9782-633E3111C2F6}" presName="aSpace" presStyleCnt="0"/>
      <dgm:spPr/>
    </dgm:pt>
  </dgm:ptLst>
  <dgm:cxnLst>
    <dgm:cxn modelId="{24B423C9-4199-4E61-B3FB-B8F21A8BE6AB}" srcId="{2F868A86-A542-4308-86DA-C0D6733F7C23}" destId="{2E84A7FD-1CE5-4DAC-B762-F1F8BE118BAB}" srcOrd="1" destOrd="0" parTransId="{CECE1A6F-FAE3-4EB4-A36C-97FBBD853112}" sibTransId="{D19CA011-68AE-4E6A-A896-DC2953583D29}"/>
    <dgm:cxn modelId="{2B5AE5DB-DD82-4536-96EA-A2CDB9AABC89}" srcId="{2F868A86-A542-4308-86DA-C0D6733F7C23}" destId="{CB8D80D7-24C7-4EB4-8DF8-3CF92DA0D83C}" srcOrd="2" destOrd="0" parTransId="{2772D601-6203-4767-BD75-42A0E5E6753D}" sibTransId="{75ED43FB-1C2B-439E-B69C-FAA12C3EE1E8}"/>
    <dgm:cxn modelId="{48CDE6D8-739C-4B27-9062-2831419C8094}" type="presOf" srcId="{2E84A7FD-1CE5-4DAC-B762-F1F8BE118BAB}" destId="{71094631-61A5-4BC3-A289-FE71C50EBDC0}" srcOrd="0" destOrd="0" presId="urn:microsoft.com/office/officeart/2005/8/layout/pyramid2"/>
    <dgm:cxn modelId="{B46DC31A-B44E-41E6-92AD-307B914D9F7A}" type="presOf" srcId="{F7FB3DF3-0865-468E-A4B4-218D1B74FE55}" destId="{62F7FF46-A103-447F-8345-80C03CB64417}" srcOrd="0" destOrd="0" presId="urn:microsoft.com/office/officeart/2005/8/layout/pyramid2"/>
    <dgm:cxn modelId="{9E3EE196-D671-417E-939D-F4103AEBAAD1}" srcId="{2F868A86-A542-4308-86DA-C0D6733F7C23}" destId="{F7FB3DF3-0865-468E-A4B4-218D1B74FE55}" srcOrd="0" destOrd="0" parTransId="{01FBAC70-F75F-4DFF-B880-D1477F56595D}" sibTransId="{82B3127F-28F2-4371-A01F-3EAFFE2AEE7F}"/>
    <dgm:cxn modelId="{1FA96F3C-53ED-4AEC-B77D-C3DA610BC44A}" type="presOf" srcId="{1B6117CC-F69E-4E22-9782-633E3111C2F6}" destId="{D551EEC0-F69B-4D2B-A7F9-4FCA14588CC2}" srcOrd="0" destOrd="0" presId="urn:microsoft.com/office/officeart/2005/8/layout/pyramid2"/>
    <dgm:cxn modelId="{BD605DE7-B2D4-4D1C-BC56-2D6340ED1514}" srcId="{2F868A86-A542-4308-86DA-C0D6733F7C23}" destId="{1B6117CC-F69E-4E22-9782-633E3111C2F6}" srcOrd="3" destOrd="0" parTransId="{A6AFE338-3657-4890-9420-942A6AC1B850}" sibTransId="{AA8CC26B-7974-4DC2-BE85-F631E1D63EF9}"/>
    <dgm:cxn modelId="{FA19D798-24FE-4C3E-AFDD-8249B6852E9C}" type="presOf" srcId="{2F868A86-A542-4308-86DA-C0D6733F7C23}" destId="{D8512525-DC54-46C2-A017-98B107D37BED}" srcOrd="0" destOrd="0" presId="urn:microsoft.com/office/officeart/2005/8/layout/pyramid2"/>
    <dgm:cxn modelId="{4554FEA0-9972-4F0F-BFE4-E182F4D6BFB2}" type="presOf" srcId="{CB8D80D7-24C7-4EB4-8DF8-3CF92DA0D83C}" destId="{900BA6C0-8C64-4EE2-B04B-18E6AB93B9D0}" srcOrd="0" destOrd="0" presId="urn:microsoft.com/office/officeart/2005/8/layout/pyramid2"/>
    <dgm:cxn modelId="{6AE32B2A-41EC-4ECE-A070-69A2E5F4164B}" type="presParOf" srcId="{D8512525-DC54-46C2-A017-98B107D37BED}" destId="{400F449D-9EE1-4DD9-8F1A-191481E1BA4B}" srcOrd="0" destOrd="0" presId="urn:microsoft.com/office/officeart/2005/8/layout/pyramid2"/>
    <dgm:cxn modelId="{2455006C-7DAE-4869-BFEF-AA525E3F768C}" type="presParOf" srcId="{D8512525-DC54-46C2-A017-98B107D37BED}" destId="{4F92B799-3268-4AB2-A766-D412DAF5C8A7}" srcOrd="1" destOrd="0" presId="urn:microsoft.com/office/officeart/2005/8/layout/pyramid2"/>
    <dgm:cxn modelId="{30FE157F-7E52-48A9-B553-064E1E48F306}" type="presParOf" srcId="{4F92B799-3268-4AB2-A766-D412DAF5C8A7}" destId="{62F7FF46-A103-447F-8345-80C03CB64417}" srcOrd="0" destOrd="0" presId="urn:microsoft.com/office/officeart/2005/8/layout/pyramid2"/>
    <dgm:cxn modelId="{EF2E5E0F-B92C-4B63-A898-6FCE6E17A67A}" type="presParOf" srcId="{4F92B799-3268-4AB2-A766-D412DAF5C8A7}" destId="{B063A2D7-08D8-4DA6-99C8-B8F4EB513266}" srcOrd="1" destOrd="0" presId="urn:microsoft.com/office/officeart/2005/8/layout/pyramid2"/>
    <dgm:cxn modelId="{DAFC92E2-51F1-4103-9FC6-C25B981C65E8}" type="presParOf" srcId="{4F92B799-3268-4AB2-A766-D412DAF5C8A7}" destId="{71094631-61A5-4BC3-A289-FE71C50EBDC0}" srcOrd="2" destOrd="0" presId="urn:microsoft.com/office/officeart/2005/8/layout/pyramid2"/>
    <dgm:cxn modelId="{EC00D95F-FF49-4CC7-B729-7E7614653F2A}" type="presParOf" srcId="{4F92B799-3268-4AB2-A766-D412DAF5C8A7}" destId="{6129C2FD-928F-4C82-B4E3-219E4FB67560}" srcOrd="3" destOrd="0" presId="urn:microsoft.com/office/officeart/2005/8/layout/pyramid2"/>
    <dgm:cxn modelId="{63D47235-E650-41A0-BC50-D66586B7246A}" type="presParOf" srcId="{4F92B799-3268-4AB2-A766-D412DAF5C8A7}" destId="{900BA6C0-8C64-4EE2-B04B-18E6AB93B9D0}" srcOrd="4" destOrd="0" presId="urn:microsoft.com/office/officeart/2005/8/layout/pyramid2"/>
    <dgm:cxn modelId="{4126093A-FF63-4F35-9E72-2FB7E7E1F1A4}" type="presParOf" srcId="{4F92B799-3268-4AB2-A766-D412DAF5C8A7}" destId="{B0D220DF-D2A1-4F95-83DF-EC883891ECAF}" srcOrd="5" destOrd="0" presId="urn:microsoft.com/office/officeart/2005/8/layout/pyramid2"/>
    <dgm:cxn modelId="{0E6EFFA6-63EA-4B2D-9D4E-3C827ACDC773}" type="presParOf" srcId="{4F92B799-3268-4AB2-A766-D412DAF5C8A7}" destId="{D551EEC0-F69B-4D2B-A7F9-4FCA14588CC2}" srcOrd="6" destOrd="0" presId="urn:microsoft.com/office/officeart/2005/8/layout/pyramid2"/>
    <dgm:cxn modelId="{11703B10-910C-44DE-98A3-DBFC051F5CBE}" type="presParOf" srcId="{4F92B799-3268-4AB2-A766-D412DAF5C8A7}" destId="{7793CFB4-03BE-488E-81E7-6E903FDFF3D4}" srcOrd="7" destOrd="0" presId="urn:microsoft.com/office/officeart/2005/8/layout/pyramid2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400F449D-9EE1-4DD9-8F1A-191481E1BA4B}">
      <dsp:nvSpPr>
        <dsp:cNvPr id="0" name=""/>
        <dsp:cNvSpPr/>
      </dsp:nvSpPr>
      <dsp:spPr>
        <a:xfrm>
          <a:off x="1388403" y="0"/>
          <a:ext cx="1809750" cy="1809750"/>
        </a:xfrm>
        <a:prstGeom prst="triangl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2F7FF46-A103-447F-8345-80C03CB64417}">
      <dsp:nvSpPr>
        <dsp:cNvPr id="0" name=""/>
        <dsp:cNvSpPr/>
      </dsp:nvSpPr>
      <dsp:spPr>
        <a:xfrm>
          <a:off x="1918896" y="181947"/>
          <a:ext cx="1925099" cy="428401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Личностно-ориентированный </a:t>
          </a:r>
        </a:p>
      </dsp:txBody>
      <dsp:txXfrm>
        <a:off x="1918896" y="181947"/>
        <a:ext cx="1925099" cy="428401"/>
      </dsp:txXfrm>
    </dsp:sp>
    <dsp:sp modelId="{71094631-61A5-4BC3-A289-FE71C50EBDC0}">
      <dsp:nvSpPr>
        <dsp:cNvPr id="0" name=""/>
        <dsp:cNvSpPr/>
      </dsp:nvSpPr>
      <dsp:spPr>
        <a:xfrm>
          <a:off x="1921396" y="663899"/>
          <a:ext cx="1920100" cy="428401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Компетентностный</a:t>
          </a:r>
        </a:p>
      </dsp:txBody>
      <dsp:txXfrm>
        <a:off x="1921396" y="663899"/>
        <a:ext cx="1920100" cy="428401"/>
      </dsp:txXfrm>
    </dsp:sp>
    <dsp:sp modelId="{900BA6C0-8C64-4EE2-B04B-18E6AB93B9D0}">
      <dsp:nvSpPr>
        <dsp:cNvPr id="0" name=""/>
        <dsp:cNvSpPr/>
      </dsp:nvSpPr>
      <dsp:spPr>
        <a:xfrm>
          <a:off x="1940194" y="1145850"/>
          <a:ext cx="1882504" cy="428401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Коммуникативно-деятельностный</a:t>
          </a:r>
        </a:p>
      </dsp:txBody>
      <dsp:txXfrm>
        <a:off x="1940194" y="1145850"/>
        <a:ext cx="1882504" cy="428401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400F449D-9EE1-4DD9-8F1A-191481E1BA4B}">
      <dsp:nvSpPr>
        <dsp:cNvPr id="0" name=""/>
        <dsp:cNvSpPr/>
      </dsp:nvSpPr>
      <dsp:spPr>
        <a:xfrm>
          <a:off x="1292347" y="0"/>
          <a:ext cx="1936750" cy="1936750"/>
        </a:xfrm>
        <a:prstGeom prst="triangl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2F7FF46-A103-447F-8345-80C03CB64417}">
      <dsp:nvSpPr>
        <dsp:cNvPr id="0" name=""/>
        <dsp:cNvSpPr/>
      </dsp:nvSpPr>
      <dsp:spPr>
        <a:xfrm>
          <a:off x="1860068" y="193864"/>
          <a:ext cx="2060194" cy="344227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Когнитивный</a:t>
          </a:r>
        </a:p>
      </dsp:txBody>
      <dsp:txXfrm>
        <a:off x="1860068" y="193864"/>
        <a:ext cx="2060194" cy="344227"/>
      </dsp:txXfrm>
    </dsp:sp>
    <dsp:sp modelId="{71094631-61A5-4BC3-A289-FE71C50EBDC0}">
      <dsp:nvSpPr>
        <dsp:cNvPr id="0" name=""/>
        <dsp:cNvSpPr/>
      </dsp:nvSpPr>
      <dsp:spPr>
        <a:xfrm>
          <a:off x="1862743" y="581119"/>
          <a:ext cx="2054844" cy="344227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Мотивационно-ценностный </a:t>
          </a:r>
        </a:p>
      </dsp:txBody>
      <dsp:txXfrm>
        <a:off x="1862743" y="581119"/>
        <a:ext cx="2054844" cy="344227"/>
      </dsp:txXfrm>
    </dsp:sp>
    <dsp:sp modelId="{900BA6C0-8C64-4EE2-B04B-18E6AB93B9D0}">
      <dsp:nvSpPr>
        <dsp:cNvPr id="0" name=""/>
        <dsp:cNvSpPr/>
      </dsp:nvSpPr>
      <dsp:spPr>
        <a:xfrm>
          <a:off x="1846875" y="968375"/>
          <a:ext cx="2086580" cy="344227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Коммуникативный</a:t>
          </a:r>
        </a:p>
      </dsp:txBody>
      <dsp:txXfrm>
        <a:off x="1846875" y="968375"/>
        <a:ext cx="2086580" cy="344227"/>
      </dsp:txXfrm>
    </dsp:sp>
    <dsp:sp modelId="{D551EEC0-F69B-4D2B-A7F9-4FCA14588CC2}">
      <dsp:nvSpPr>
        <dsp:cNvPr id="0" name=""/>
        <dsp:cNvSpPr/>
      </dsp:nvSpPr>
      <dsp:spPr>
        <a:xfrm>
          <a:off x="1840278" y="1355630"/>
          <a:ext cx="2099773" cy="344227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Организационно-деятельностный</a:t>
          </a:r>
          <a:r>
            <a:rPr lang="ru-RU" sz="1100" kern="1200"/>
            <a:t> </a:t>
          </a:r>
          <a:endParaRPr lang="ru-RU" sz="11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840278" y="1355630"/>
        <a:ext cx="2099773" cy="34422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2">
  <dgm:title val=""/>
  <dgm:desc val=""/>
  <dgm:catLst>
    <dgm:cat type="pyramid" pri="3000"/>
    <dgm:cat type="list" pri="21000"/>
    <dgm:cat type="convert" pri="17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alg type="composite"/>
    <dgm:shape xmlns:r="http://schemas.openxmlformats.org/officeDocument/2006/relationships" r:blip="">
      <dgm:adjLst/>
    </dgm:shape>
    <dgm:presOf/>
    <dgm:varLst>
      <dgm:dir/>
      <dgm:resizeHandles/>
    </dgm:varLst>
    <dgm:choose name="Name0">
      <dgm:if name="Name1" func="var" arg="dir" op="equ" val="norm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l" for="ch" forName="theList" refType="w" refFor="ch" refForName="pyramid" fact="0.5"/>
          <dgm:constr type="h" for="des" forName="aSpace" refType="h" fact="0.1"/>
        </dgm:constrLst>
      </dgm:if>
      <dgm:else name="Name2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r" for="ch" forName="theList" refType="w" refFor="ch" refForName="pyramid" fact="0.5"/>
          <dgm:constr type="h" for="des" forName="aSpace" refType="h" fact="0.1"/>
        </dgm:constrLst>
      </dgm:else>
    </dgm:choose>
    <dgm:ruleLst/>
    <dgm:choose name="Name3">
      <dgm:if name="Name4" axis="ch" ptType="node" func="cnt" op="gte" val="1">
        <dgm:layoutNode name="pyramid" styleLbl="node1">
          <dgm:alg type="sp"/>
          <dgm:shape xmlns:r="http://schemas.openxmlformats.org/officeDocument/2006/relationships" type="triangle" r:blip="">
            <dgm:adjLst/>
          </dgm:shape>
          <dgm:presOf/>
          <dgm:constrLst/>
          <dgm:ruleLst/>
        </dgm:layoutNode>
        <dgm:layoutNode name="theList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aNode" refType="w"/>
            <dgm:constr type="h" for="ch" forName="aNode" refType="h"/>
            <dgm:constr type="primFontSz" for="ch" ptType="node" op="equ"/>
          </dgm:constrLst>
          <dgm:ruleLst/>
          <dgm:forEach name="aNodeForEach" axis="ch" ptType="node">
            <dgm:layoutNode name="aNode" styleLbl="fgAcc1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layoutNode name="a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layoutNode>
      </dgm:if>
      <dgm:else name="Name5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yramid2">
  <dgm:title val=""/>
  <dgm:desc val=""/>
  <dgm:catLst>
    <dgm:cat type="pyramid" pri="3000"/>
    <dgm:cat type="list" pri="21000"/>
    <dgm:cat type="convert" pri="17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alg type="composite"/>
    <dgm:shape xmlns:r="http://schemas.openxmlformats.org/officeDocument/2006/relationships" r:blip="">
      <dgm:adjLst/>
    </dgm:shape>
    <dgm:presOf/>
    <dgm:varLst>
      <dgm:dir/>
      <dgm:resizeHandles/>
    </dgm:varLst>
    <dgm:choose name="Name0">
      <dgm:if name="Name1" func="var" arg="dir" op="equ" val="norm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l" for="ch" forName="theList" refType="w" refFor="ch" refForName="pyramid" fact="0.5"/>
          <dgm:constr type="h" for="des" forName="aSpace" refType="h" fact="0.1"/>
        </dgm:constrLst>
      </dgm:if>
      <dgm:else name="Name2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r" for="ch" forName="theList" refType="w" refFor="ch" refForName="pyramid" fact="0.5"/>
          <dgm:constr type="h" for="des" forName="aSpace" refType="h" fact="0.1"/>
        </dgm:constrLst>
      </dgm:else>
    </dgm:choose>
    <dgm:ruleLst/>
    <dgm:choose name="Name3">
      <dgm:if name="Name4" axis="ch" ptType="node" func="cnt" op="gte" val="1">
        <dgm:layoutNode name="pyramid" styleLbl="node1">
          <dgm:alg type="sp"/>
          <dgm:shape xmlns:r="http://schemas.openxmlformats.org/officeDocument/2006/relationships" type="triangle" r:blip="">
            <dgm:adjLst/>
          </dgm:shape>
          <dgm:presOf/>
          <dgm:constrLst/>
          <dgm:ruleLst/>
        </dgm:layoutNode>
        <dgm:layoutNode name="theList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aNode" refType="w"/>
            <dgm:constr type="h" for="ch" forName="aNode" refType="h"/>
            <dgm:constr type="primFontSz" for="ch" ptType="node" op="equ"/>
          </dgm:constrLst>
          <dgm:ruleLst/>
          <dgm:forEach name="aNodeForEach" axis="ch" ptType="node">
            <dgm:layoutNode name="aNode" styleLbl="fgAcc1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layoutNode name="a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layoutNode>
      </dgm:if>
      <dgm:else name="Name5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1173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Николь</dc:creator>
  <cp:keywords/>
  <dc:description/>
  <cp:lastModifiedBy>GMR</cp:lastModifiedBy>
  <cp:revision>4</cp:revision>
  <dcterms:created xsi:type="dcterms:W3CDTF">2026-05-16T02:43:00Z</dcterms:created>
  <dcterms:modified xsi:type="dcterms:W3CDTF">2026-05-18T09:52:00Z</dcterms:modified>
</cp:coreProperties>
</file>