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160"/>
        <w:contextualSpacing/>
        <w:jc w:val="center"/>
        <w:rPr>
          <w:rFonts w:ascii="Times New Roman" w:hAnsi="Times New Roman" w:cs="Times New Roman"/>
          <w:b/>
          <w:bCs/>
          <w:sz w:val="28"/>
          <w:szCs w:val="28"/>
        </w:rPr>
      </w:pPr>
      <w:r>
        <w:rPr>
          <w:rFonts w:cs="Times New Roman" w:ascii="Times New Roman" w:hAnsi="Times New Roman"/>
          <w:b/>
          <w:bCs/>
          <w:sz w:val="28"/>
          <w:szCs w:val="28"/>
        </w:rPr>
        <w:t xml:space="preserve">Наставничество в дополнительном образовании: </w:t>
      </w:r>
    </w:p>
    <w:p>
      <w:pPr>
        <w:pStyle w:val="Normal"/>
        <w:spacing w:lineRule="auto" w:line="360" w:before="0" w:after="160"/>
        <w:contextualSpacing/>
        <w:jc w:val="center"/>
        <w:rPr>
          <w:rFonts w:ascii="Times New Roman" w:hAnsi="Times New Roman" w:cs="Times New Roman"/>
          <w:b/>
          <w:bCs/>
          <w:sz w:val="28"/>
          <w:szCs w:val="28"/>
        </w:rPr>
      </w:pPr>
      <w:r>
        <w:rPr>
          <w:rFonts w:cs="Times New Roman" w:ascii="Times New Roman" w:hAnsi="Times New Roman"/>
          <w:b/>
          <w:bCs/>
          <w:sz w:val="28"/>
          <w:szCs w:val="28"/>
        </w:rPr>
        <w:t>от теоретических основ к практической реализации</w:t>
      </w:r>
    </w:p>
    <w:p>
      <w:pPr>
        <w:pStyle w:val="Normal"/>
        <w:spacing w:lineRule="auto" w:line="360" w:before="0" w:after="160"/>
        <w:contextualSpacing/>
        <w:jc w:val="both"/>
        <w:rPr>
          <w:rFonts w:ascii="Times New Roman" w:hAnsi="Times New Roman" w:cs="Times New Roman"/>
          <w:b/>
          <w:bCs/>
          <w:sz w:val="28"/>
          <w:szCs w:val="28"/>
        </w:rPr>
      </w:pPr>
      <w:r>
        <w:rPr>
          <w:rFonts w:cs="Times New Roman" w:ascii="Times New Roman" w:hAnsi="Times New Roman"/>
          <w:b/>
          <w:bCs/>
          <w:sz w:val="28"/>
          <w:szCs w:val="28"/>
        </w:rPr>
        <w:t>(</w:t>
      </w:r>
      <w:r>
        <w:rPr>
          <w:rFonts w:cs="Times New Roman" w:ascii="Times New Roman" w:hAnsi="Times New Roman"/>
          <w:b/>
          <w:bCs/>
          <w:sz w:val="28"/>
          <w:szCs w:val="28"/>
        </w:rPr>
        <w:t>о</w:t>
      </w:r>
      <w:r>
        <w:rPr>
          <w:rFonts w:cs="Times New Roman" w:ascii="Times New Roman" w:hAnsi="Times New Roman"/>
          <w:b/>
          <w:bCs/>
          <w:sz w:val="28"/>
          <w:szCs w:val="28"/>
        </w:rPr>
        <w:t>пыт работы научно-</w:t>
      </w:r>
      <w:r>
        <w:rPr>
          <w:rFonts w:cs="Times New Roman" w:ascii="Times New Roman" w:hAnsi="Times New Roman"/>
          <w:b/>
          <w:bCs/>
          <w:sz w:val="28"/>
          <w:szCs w:val="28"/>
        </w:rPr>
        <w:t>технического</w:t>
      </w:r>
      <w:r>
        <w:rPr>
          <w:rFonts w:cs="Times New Roman" w:ascii="Times New Roman" w:hAnsi="Times New Roman"/>
          <w:b/>
          <w:bCs/>
          <w:sz w:val="28"/>
          <w:szCs w:val="28"/>
        </w:rPr>
        <w:t xml:space="preserve"> общества учащихся «НОВИК»)</w:t>
      </w:r>
    </w:p>
    <w:p>
      <w:pPr>
        <w:pStyle w:val="Normal"/>
        <w:spacing w:lineRule="auto" w:line="360" w:before="0" w:after="160"/>
        <w:contextualSpacing/>
        <w:jc w:val="right"/>
        <w:rPr>
          <w:rFonts w:ascii="Times New Roman" w:hAnsi="Times New Roman" w:cs="Times New Roman"/>
          <w:b/>
          <w:bCs/>
          <w:i/>
          <w:i/>
          <w:iCs/>
          <w:sz w:val="28"/>
          <w:szCs w:val="28"/>
        </w:rPr>
      </w:pPr>
      <w:r>
        <w:rPr>
          <w:rFonts w:cs="Times New Roman" w:ascii="Times New Roman" w:hAnsi="Times New Roman"/>
          <w:b/>
          <w:bCs/>
          <w:i/>
          <w:iCs/>
          <w:sz w:val="28"/>
          <w:szCs w:val="28"/>
        </w:rPr>
        <w:t>Самсонов С.М.</w:t>
      </w:r>
    </w:p>
    <w:p>
      <w:pPr>
        <w:pStyle w:val="Normal"/>
        <w:spacing w:lineRule="auto" w:line="360" w:before="0" w:after="160"/>
        <w:contextualSpacing/>
        <w:jc w:val="right"/>
        <w:rPr>
          <w:rFonts w:ascii="Times New Roman" w:hAnsi="Times New Roman" w:cs="Times New Roman"/>
          <w:b/>
          <w:bCs/>
          <w:i/>
          <w:i/>
          <w:iCs/>
          <w:sz w:val="28"/>
          <w:szCs w:val="28"/>
        </w:rPr>
      </w:pPr>
      <w:r>
        <w:rPr>
          <w:rFonts w:cs="Times New Roman" w:ascii="Times New Roman" w:hAnsi="Times New Roman"/>
          <w:b/>
          <w:bCs/>
          <w:i/>
          <w:iCs/>
          <w:sz w:val="28"/>
          <w:szCs w:val="28"/>
        </w:rPr>
        <w:t>учитель труда (технологии)</w:t>
      </w:r>
    </w:p>
    <w:p>
      <w:pPr>
        <w:pStyle w:val="Normal"/>
        <w:spacing w:lineRule="auto" w:line="360" w:before="0" w:after="160"/>
        <w:contextualSpacing/>
        <w:jc w:val="right"/>
        <w:rPr>
          <w:rFonts w:ascii="Times New Roman" w:hAnsi="Times New Roman" w:cs="Times New Roman"/>
          <w:b/>
          <w:bCs/>
          <w:i/>
          <w:i/>
          <w:iCs/>
          <w:sz w:val="28"/>
          <w:szCs w:val="28"/>
        </w:rPr>
      </w:pPr>
      <w:r>
        <w:rPr>
          <w:rFonts w:cs="Times New Roman" w:ascii="Times New Roman" w:hAnsi="Times New Roman"/>
          <w:b/>
          <w:bCs/>
          <w:i/>
          <w:iCs/>
          <w:sz w:val="28"/>
          <w:szCs w:val="28"/>
        </w:rPr>
        <w:t>МБОУ СОШ № 15 с.Казинка</w:t>
      </w:r>
    </w:p>
    <w:p>
      <w:pPr>
        <w:pStyle w:val="Normal"/>
        <w:spacing w:lineRule="auto" w:line="360" w:before="0" w:after="160"/>
        <w:contextualSpacing/>
        <w:jc w:val="right"/>
        <w:rPr>
          <w:rFonts w:ascii="Times New Roman" w:hAnsi="Times New Roman" w:cs="Times New Roman"/>
          <w:b/>
          <w:bCs/>
          <w:i/>
          <w:i/>
          <w:iCs/>
          <w:sz w:val="28"/>
          <w:szCs w:val="28"/>
        </w:rPr>
      </w:pPr>
      <w:r>
        <w:rPr>
          <w:rFonts w:cs="Times New Roman" w:ascii="Times New Roman" w:hAnsi="Times New Roman"/>
          <w:b/>
          <w:bCs/>
          <w:i/>
          <w:iCs/>
          <w:sz w:val="28"/>
          <w:szCs w:val="28"/>
        </w:rPr>
        <w:t>Шпаковского МО Ставропольского края</w:t>
      </w:r>
    </w:p>
    <w:p>
      <w:pPr>
        <w:pStyle w:val="Normal"/>
        <w:spacing w:lineRule="auto" w:line="360" w:before="0" w:after="160"/>
        <w:contextualSpacing/>
        <w:jc w:val="center"/>
        <w:rPr>
          <w:i/>
          <w:i/>
          <w:iCs/>
        </w:rPr>
      </w:pPr>
      <w:r>
        <w:rPr>
          <w:rFonts w:cs="Times New Roman" w:ascii="Times New Roman" w:hAnsi="Times New Roman"/>
          <w:b/>
          <w:bCs/>
          <w:i/>
          <w:iCs/>
          <w:sz w:val="28"/>
          <w:szCs w:val="28"/>
        </w:rPr>
        <w:t>Аннотация</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статье рассматриваются теоретико-методологические основы наставничества в системе дополнительного образования, а также представлен практический опыт реализации наставнических практик в деятельности научно-</w:t>
      </w:r>
      <w:r>
        <w:rPr>
          <w:rFonts w:cs="Times New Roman" w:ascii="Times New Roman" w:hAnsi="Times New Roman"/>
          <w:sz w:val="28"/>
          <w:szCs w:val="28"/>
        </w:rPr>
        <w:t>технического</w:t>
      </w:r>
      <w:r>
        <w:rPr>
          <w:rFonts w:cs="Times New Roman" w:ascii="Times New Roman" w:hAnsi="Times New Roman"/>
          <w:sz w:val="28"/>
          <w:szCs w:val="28"/>
        </w:rPr>
        <w:t xml:space="preserve"> общества учащихся «НОВИК» (научно-обоснованное внедрение инновационных конструкций). В практической части представлена хронология реализации инженерно-технических проектов за 25 лет работы, демонстрирующая эволюцию наставнических отношений и их влияние на профессиональное становление обучающихся.</w:t>
      </w:r>
    </w:p>
    <w:p>
      <w:pPr>
        <w:pStyle w:val="Normal"/>
        <w:spacing w:lineRule="auto" w:line="360" w:before="0" w:after="160"/>
        <w:ind w:firstLine="708"/>
        <w:contextualSpacing/>
        <w:jc w:val="center"/>
        <w:rPr>
          <w:rFonts w:ascii="Times New Roman" w:hAnsi="Times New Roman" w:cs="Times New Roman"/>
          <w:b/>
          <w:bCs/>
          <w:sz w:val="28"/>
          <w:szCs w:val="28"/>
        </w:rPr>
      </w:pPr>
      <w:r>
        <w:rPr>
          <w:rFonts w:cs="Times New Roman" w:ascii="Times New Roman" w:hAnsi="Times New Roman"/>
          <w:b/>
          <w:bCs/>
          <w:sz w:val="28"/>
          <w:szCs w:val="28"/>
        </w:rPr>
        <w:t>Введение</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современной образовательной политике Российской Федерации наставничество приобретает статус одного из приоритетных механизмов повышения качества образования. 2023 год был объявлен Годом педагога и наставника, что подтверждает признание государством особой важности роли наставничества в устойчивом развитии страны.</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Особую значимость проблема наставничества приобретает в системе дополнительного образования, которая по своей природе ориентирована на индивидуализацию образовательных траекторий, развитие творческого потенциала и профессиональное самоопределение обучающихся.</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Наставничество в дополнительном образовании — это особый вид педагогики, где мастер не транслирует готовые истины, а становится проводником в мир неизведанного. Это совместный поиск решений, где ошибка — не провал, а новый виток развития. Это передача не просто навыков, а особого типа мышления: инженерного, экономического, экологического.</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За 25 лет существования нашего кружка, выросшего в научно-</w:t>
      </w:r>
      <w:r>
        <w:rPr>
          <w:rFonts w:cs="Times New Roman" w:ascii="Times New Roman" w:hAnsi="Times New Roman"/>
          <w:sz w:val="28"/>
          <w:szCs w:val="28"/>
        </w:rPr>
        <w:t>техническое</w:t>
      </w:r>
      <w:r>
        <w:rPr>
          <w:rFonts w:cs="Times New Roman" w:ascii="Times New Roman" w:hAnsi="Times New Roman"/>
          <w:sz w:val="28"/>
          <w:szCs w:val="28"/>
        </w:rPr>
        <w:t xml:space="preserve"> общество учащихся </w:t>
      </w:r>
      <w:r>
        <w:rPr>
          <w:rFonts w:cs="Times New Roman" w:ascii="Times New Roman" w:hAnsi="Times New Roman"/>
          <w:b/>
          <w:bCs/>
          <w:sz w:val="28"/>
          <w:szCs w:val="28"/>
        </w:rPr>
        <w:t xml:space="preserve">«НОВИК» </w:t>
      </w:r>
      <w:r>
        <w:rPr>
          <w:rFonts w:cs="Times New Roman" w:ascii="Times New Roman" w:hAnsi="Times New Roman"/>
          <w:color w:val="0F1115"/>
          <w:sz w:val="28"/>
          <w:szCs w:val="28"/>
          <w:shd w:fill="FFFFFF" w:val="clear"/>
        </w:rPr>
        <w:t>(научно-обоснованное внедрение инновационных конструкций)</w:t>
      </w:r>
      <w:r>
        <w:rPr>
          <w:rFonts w:cs="Times New Roman" w:ascii="Times New Roman" w:hAnsi="Times New Roman"/>
          <w:sz w:val="28"/>
          <w:szCs w:val="28"/>
        </w:rPr>
        <w:t>, мы убедились: лучший способ научить — это увлечь, лучший способ воспитать — это доверить настоящее дело.</w:t>
      </w:r>
    </w:p>
    <w:p>
      <w:pPr>
        <w:pStyle w:val="Normal"/>
        <w:spacing w:lineRule="auto" w:line="360" w:before="0" w:after="160"/>
        <w:contextualSpacing/>
        <w:jc w:val="center"/>
        <w:rPr>
          <w:rFonts w:ascii="Times New Roman" w:hAnsi="Times New Roman" w:cs="Times New Roman"/>
          <w:b/>
          <w:bCs/>
          <w:sz w:val="28"/>
          <w:szCs w:val="28"/>
        </w:rPr>
      </w:pPr>
      <w:r>
        <w:rPr>
          <w:rFonts w:cs="Times New Roman" w:ascii="Times New Roman" w:hAnsi="Times New Roman"/>
          <w:b/>
          <w:bCs/>
          <w:sz w:val="28"/>
          <w:szCs w:val="28"/>
        </w:rPr>
        <w:t>Теоретико-методологические основы наставничества</w:t>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В исследовании В.А. Протопоповой и А.В. Тищенко выделяются несколько этапов развития наставничества:</w:t>
      </w:r>
    </w:p>
    <w:p>
      <w:pPr>
        <w:pStyle w:val="Normal"/>
        <w:numPr>
          <w:ilvl w:val="0"/>
          <w:numId w:val="1"/>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Этап фундаментализации наставничества</w:t>
      </w:r>
      <w:r>
        <w:rPr>
          <w:rFonts w:cs="Times New Roman" w:ascii="Times New Roman" w:hAnsi="Times New Roman"/>
          <w:sz w:val="28"/>
          <w:szCs w:val="28"/>
        </w:rPr>
        <w:t> — зарождение практик передачи опыта в древних цивилизациях.</w:t>
      </w:r>
    </w:p>
    <w:p>
      <w:pPr>
        <w:pStyle w:val="Normal"/>
        <w:numPr>
          <w:ilvl w:val="0"/>
          <w:numId w:val="1"/>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Духовно-религиозный этап</w:t>
      </w:r>
      <w:r>
        <w:rPr>
          <w:rFonts w:cs="Times New Roman" w:ascii="Times New Roman" w:hAnsi="Times New Roman"/>
          <w:sz w:val="28"/>
          <w:szCs w:val="28"/>
        </w:rPr>
        <w:t> — наставничество в рамках религиозных институтов.</w:t>
      </w:r>
    </w:p>
    <w:p>
      <w:pPr>
        <w:pStyle w:val="Normal"/>
        <w:numPr>
          <w:ilvl w:val="0"/>
          <w:numId w:val="1"/>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Научно-педагогический этап</w:t>
      </w:r>
      <w:r>
        <w:rPr>
          <w:rFonts w:cs="Times New Roman" w:ascii="Times New Roman" w:hAnsi="Times New Roman"/>
          <w:sz w:val="28"/>
          <w:szCs w:val="28"/>
        </w:rPr>
        <w:t> — осмысление наставничества как педагогического феномена (К.Д. Ушинский и др.).</w:t>
      </w:r>
    </w:p>
    <w:p>
      <w:pPr>
        <w:pStyle w:val="Normal"/>
        <w:numPr>
          <w:ilvl w:val="0"/>
          <w:numId w:val="1"/>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Этап профессионализации наставничества</w:t>
      </w:r>
      <w:r>
        <w:rPr>
          <w:rFonts w:cs="Times New Roman" w:ascii="Times New Roman" w:hAnsi="Times New Roman"/>
          <w:sz w:val="28"/>
          <w:szCs w:val="28"/>
        </w:rPr>
        <w:t> — формирование системы профессионально-технического образования.</w:t>
      </w:r>
    </w:p>
    <w:p>
      <w:pPr>
        <w:pStyle w:val="Normal"/>
        <w:numPr>
          <w:ilvl w:val="0"/>
          <w:numId w:val="1"/>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Советский производственно-технический этап</w:t>
      </w:r>
      <w:r>
        <w:rPr>
          <w:rFonts w:cs="Times New Roman" w:ascii="Times New Roman" w:hAnsi="Times New Roman"/>
          <w:sz w:val="28"/>
          <w:szCs w:val="28"/>
        </w:rPr>
        <w:t> — массовое развитие движения наставничества на производстве (А.С. Макаренко и др.).</w:t>
      </w:r>
    </w:p>
    <w:p>
      <w:pPr>
        <w:pStyle w:val="Normal"/>
        <w:numPr>
          <w:ilvl w:val="0"/>
          <w:numId w:val="1"/>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Стагнационный этап</w:t>
      </w:r>
      <w:r>
        <w:rPr>
          <w:rFonts w:cs="Times New Roman" w:ascii="Times New Roman" w:hAnsi="Times New Roman"/>
          <w:sz w:val="28"/>
          <w:szCs w:val="28"/>
        </w:rPr>
        <w:t> — период 1990-х годов.</w:t>
      </w:r>
    </w:p>
    <w:p>
      <w:pPr>
        <w:pStyle w:val="Normal"/>
        <w:numPr>
          <w:ilvl w:val="0"/>
          <w:numId w:val="1"/>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Современный этап наставнического «ренессанса»</w:t>
      </w:r>
      <w:r>
        <w:rPr>
          <w:rFonts w:cs="Times New Roman" w:ascii="Times New Roman" w:hAnsi="Times New Roman"/>
          <w:sz w:val="28"/>
          <w:szCs w:val="28"/>
        </w:rPr>
        <w:t> — возрождение интереса к наставничеству.</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Античный прообраз наставничества — фигура Ментора из древнегреческой мифологии, друга Одиссея, который воспитывал его сына Телемаха. Этот миф задал культурный архетип наставника как мудрого советчика, пользующегося безусловным доверием.</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Современная педагогическая наука рассматривает наставничество с позиций средового, системного, процессного и деятельностного подходов. С позиции гуманитарной стратегии наставничество предстает как </w:t>
      </w:r>
      <w:r>
        <w:rPr>
          <w:rFonts w:cs="Times New Roman" w:ascii="Times New Roman" w:hAnsi="Times New Roman"/>
          <w:b/>
          <w:bCs/>
          <w:sz w:val="28"/>
          <w:szCs w:val="28"/>
        </w:rPr>
        <w:t>система гуманитарных отношений профессионалов</w:t>
      </w:r>
      <w:r>
        <w:rPr>
          <w:rFonts w:cs="Times New Roman" w:ascii="Times New Roman" w:hAnsi="Times New Roman"/>
          <w:sz w:val="28"/>
          <w:szCs w:val="28"/>
        </w:rPr>
        <w:t>, находящихся на разных этапах жизненного цикла профессии.</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Наставничество включает в себя универсальную технологию передачи опыта, знаний, формирования навыков и ценностей через </w:t>
      </w:r>
      <w:r>
        <w:rPr>
          <w:rFonts w:cs="Times New Roman" w:ascii="Times New Roman" w:hAnsi="Times New Roman"/>
          <w:b/>
          <w:bCs/>
          <w:sz w:val="28"/>
          <w:szCs w:val="28"/>
        </w:rPr>
        <w:t>неформальное взаимообогащающее общение</w:t>
      </w:r>
      <w:r>
        <w:rPr>
          <w:rFonts w:cs="Times New Roman" w:ascii="Times New Roman" w:hAnsi="Times New Roman"/>
          <w:sz w:val="28"/>
          <w:szCs w:val="28"/>
        </w:rPr>
        <w:t>, основанное на доверии и партнерстве. Это саморазвивающаяся система, имеющая огромный потенциал как инструмент социальной, образовательной и профессиональной адаптации.</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Современная педагогика выделяет следующие модели:</w:t>
      </w:r>
    </w:p>
    <w:p>
      <w:pPr>
        <w:pStyle w:val="Normal"/>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По направленности взаимодействия:</w:t>
      </w:r>
    </w:p>
    <w:p>
      <w:pPr>
        <w:pStyle w:val="Normal"/>
        <w:numPr>
          <w:ilvl w:val="0"/>
          <w:numId w:val="2"/>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i/>
          <w:iCs/>
          <w:sz w:val="28"/>
          <w:szCs w:val="28"/>
        </w:rPr>
        <w:t>Традиционное наставничество</w:t>
      </w:r>
      <w:r>
        <w:rPr>
          <w:rFonts w:cs="Times New Roman" w:ascii="Times New Roman" w:hAnsi="Times New Roman"/>
          <w:sz w:val="28"/>
          <w:szCs w:val="28"/>
        </w:rPr>
        <w:t> — классическая модель «наставник-наставляемый».</w:t>
      </w:r>
    </w:p>
    <w:p>
      <w:pPr>
        <w:pStyle w:val="Normal"/>
        <w:numPr>
          <w:ilvl w:val="0"/>
          <w:numId w:val="2"/>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i/>
          <w:iCs/>
          <w:sz w:val="28"/>
          <w:szCs w:val="28"/>
        </w:rPr>
        <w:t>Реверсивное наставничество</w:t>
      </w:r>
      <w:r>
        <w:rPr>
          <w:rFonts w:cs="Times New Roman" w:ascii="Times New Roman" w:hAnsi="Times New Roman"/>
          <w:sz w:val="28"/>
          <w:szCs w:val="28"/>
        </w:rPr>
        <w:t> — модель, в которой роли меняются (молодые специалисты обучают опытных коллег, например, цифровым компетенциям).</w:t>
      </w:r>
    </w:p>
    <w:p>
      <w:pPr>
        <w:pStyle w:val="Normal"/>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По субъектам наставнической деятельности:</w:t>
      </w:r>
    </w:p>
    <w:p>
      <w:pPr>
        <w:pStyle w:val="Normal"/>
        <w:numPr>
          <w:ilvl w:val="0"/>
          <w:numId w:val="3"/>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i/>
          <w:iCs/>
          <w:sz w:val="28"/>
          <w:szCs w:val="28"/>
        </w:rPr>
        <w:t>«Педагог — педагог»</w:t>
      </w:r>
      <w:r>
        <w:rPr>
          <w:rFonts w:cs="Times New Roman" w:ascii="Times New Roman" w:hAnsi="Times New Roman"/>
          <w:sz w:val="28"/>
          <w:szCs w:val="28"/>
        </w:rPr>
        <w:t> — поддержка молодых специалистов.</w:t>
      </w:r>
    </w:p>
    <w:p>
      <w:pPr>
        <w:pStyle w:val="Normal"/>
        <w:numPr>
          <w:ilvl w:val="0"/>
          <w:numId w:val="3"/>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i/>
          <w:iCs/>
          <w:sz w:val="28"/>
          <w:szCs w:val="28"/>
        </w:rPr>
        <w:t>«Ученик — ученик»</w:t>
      </w:r>
      <w:r>
        <w:rPr>
          <w:rFonts w:cs="Times New Roman" w:ascii="Times New Roman" w:hAnsi="Times New Roman"/>
          <w:sz w:val="28"/>
          <w:szCs w:val="28"/>
        </w:rPr>
        <w:t> — старшие помогают младшим.</w:t>
      </w:r>
    </w:p>
    <w:p>
      <w:pPr>
        <w:pStyle w:val="Normal"/>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По формам организации:</w:t>
      </w:r>
    </w:p>
    <w:p>
      <w:pPr>
        <w:pStyle w:val="Normal"/>
        <w:numPr>
          <w:ilvl w:val="0"/>
          <w:numId w:val="4"/>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Целеполагающее, ситуационное, партнерское, групповое, виртуальное, флэш-наставничество.</w:t>
      </w:r>
    </w:p>
    <w:p>
      <w:pPr>
        <w:pStyle w:val="Normal"/>
        <w:spacing w:lineRule="auto" w:line="360" w:before="0" w:after="160"/>
        <w:contextual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Дополнительное образование детей обладает значительным потенциалом для реализации наставничества благодаря:</w:t>
      </w:r>
    </w:p>
    <w:p>
      <w:pPr>
        <w:pStyle w:val="Normal"/>
        <w:numPr>
          <w:ilvl w:val="0"/>
          <w:numId w:val="5"/>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добровольности участия;</w:t>
      </w:r>
    </w:p>
    <w:p>
      <w:pPr>
        <w:pStyle w:val="Normal"/>
        <w:numPr>
          <w:ilvl w:val="0"/>
          <w:numId w:val="5"/>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практико-ориентированному характеру;</w:t>
      </w:r>
    </w:p>
    <w:p>
      <w:pPr>
        <w:pStyle w:val="Normal"/>
        <w:numPr>
          <w:ilvl w:val="0"/>
          <w:numId w:val="5"/>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возможности длительного взаимодействия;</w:t>
      </w:r>
    </w:p>
    <w:p>
      <w:pPr>
        <w:pStyle w:val="Normal"/>
        <w:numPr>
          <w:ilvl w:val="0"/>
          <w:numId w:val="5"/>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ориентации на индивидуальные интересы;</w:t>
      </w:r>
    </w:p>
    <w:p>
      <w:pPr>
        <w:pStyle w:val="Normal"/>
        <w:numPr>
          <w:ilvl w:val="0"/>
          <w:numId w:val="5"/>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возможности реализации модели «ученик-ученик».</w:t>
      </w:r>
    </w:p>
    <w:p>
      <w:pPr>
        <w:pStyle w:val="Normal"/>
        <w:spacing w:lineRule="auto" w:line="360" w:before="0" w:after="160"/>
        <w:contextualSpacing/>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spacing w:lineRule="auto" w:line="360" w:before="0" w:after="160"/>
        <w:contextualSpacing/>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spacing w:lineRule="auto" w:line="360" w:before="0" w:after="160"/>
        <w:contextualSpacing/>
        <w:jc w:val="center"/>
        <w:rPr>
          <w:rFonts w:ascii="Times New Roman" w:hAnsi="Times New Roman" w:cs="Times New Roman"/>
          <w:b/>
          <w:bCs/>
          <w:sz w:val="28"/>
          <w:szCs w:val="28"/>
        </w:rPr>
      </w:pPr>
      <w:r>
        <w:rPr>
          <w:rFonts w:cs="Times New Roman" w:ascii="Times New Roman" w:hAnsi="Times New Roman"/>
          <w:b/>
          <w:bCs/>
          <w:sz w:val="28"/>
          <w:szCs w:val="28"/>
        </w:rPr>
        <w:t>Практическая реализация наставничества в НОУ «НОВИК»</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2001 году, придя в школу, я столкнулся с проблемой: старшеклассники, уже имевшие опыт работы на полях ученической бригады, считали школьные «творческие проекты» слишком простыми. Эти ребята не просто изучали теорию —  в урочное  и во внеурочное время они получали рабочие профессии. Благодаря нашей профориентационной программе, школьники имели возможность стать </w:t>
      </w:r>
      <w:r>
        <w:rPr>
          <w:rFonts w:cs="Times New Roman" w:ascii="Times New Roman" w:hAnsi="Times New Roman"/>
          <w:b/>
          <w:bCs/>
          <w:sz w:val="28"/>
          <w:szCs w:val="28"/>
        </w:rPr>
        <w:t>трактористами-машинистами категорий B, C, E, F</w:t>
      </w:r>
      <w:r>
        <w:rPr>
          <w:rFonts w:cs="Times New Roman" w:ascii="Times New Roman" w:hAnsi="Times New Roman"/>
          <w:sz w:val="28"/>
          <w:szCs w:val="28"/>
        </w:rPr>
        <w:t>. Они уже садились за рычаги настоящей техники, и их сложно было удивить поделкой из фанеры.</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Тогда и родилась идея первого серьезного проекта. В 2004 году мы начали работу над мини-трактором. Название выбрали символичное — </w:t>
      </w:r>
      <w:r>
        <w:rPr>
          <w:rFonts w:cs="Times New Roman" w:ascii="Times New Roman" w:hAnsi="Times New Roman"/>
          <w:b/>
          <w:bCs/>
          <w:sz w:val="28"/>
          <w:szCs w:val="28"/>
        </w:rPr>
        <w:t>«Кубик»</w:t>
      </w:r>
      <w:r>
        <w:rPr>
          <w:rFonts w:cs="Times New Roman" w:ascii="Times New Roman" w:hAnsi="Times New Roman"/>
          <w:sz w:val="28"/>
          <w:szCs w:val="28"/>
        </w:rPr>
        <w:t>, в честь Казинской ученической бригады и нашего кружка. Конструкция действительно напоминала собранный из «кубиков» конструктор, детали которого мы искали по гаражам и мастерским.</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«Кубик-1» стал нашей точкой отсчета. У меня, как у наставника, не было готового рецепта сборки, и мы вместе с ребятами учились на ходу: применяли функционально-стоимостной анализ, чертили, точили, варили. Итог превзошел ожидания: трактор поехал, а его создатель стал победителем краевого слета и поступил в Ставропольский ГАУ. Этот успех сформировал главный принцип нашей работы: </w:t>
      </w:r>
      <w:r>
        <w:rPr>
          <w:rFonts w:cs="Times New Roman" w:ascii="Times New Roman" w:hAnsi="Times New Roman"/>
          <w:b/>
          <w:bCs/>
          <w:sz w:val="28"/>
          <w:szCs w:val="28"/>
        </w:rPr>
        <w:t>«Мы создаем реальные машины для реальной жизни»</w:t>
      </w:r>
      <w:r>
        <w:rPr>
          <w:rFonts w:cs="Times New Roman" w:ascii="Times New Roman" w:hAnsi="Times New Roman"/>
          <w:sz w:val="28"/>
          <w:szCs w:val="28"/>
        </w:rPr>
        <w:t>.</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Вдохновленные успехом, мы продолжили совершенствовать конструкцию. В 2005 году появился </w:t>
      </w:r>
      <w:r>
        <w:rPr>
          <w:rFonts w:cs="Times New Roman" w:ascii="Times New Roman" w:hAnsi="Times New Roman"/>
          <w:b/>
          <w:bCs/>
          <w:sz w:val="28"/>
          <w:szCs w:val="28"/>
        </w:rPr>
        <w:t>«Кубик-2»</w:t>
      </w:r>
      <w:r>
        <w:rPr>
          <w:rFonts w:cs="Times New Roman" w:ascii="Times New Roman" w:hAnsi="Times New Roman"/>
          <w:sz w:val="28"/>
          <w:szCs w:val="28"/>
        </w:rPr>
        <w:t> — более надежный, с улучшенной эргономикой. Параллельно с тракторостроением мы решали конкретные хозяйственные задачи.</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2007 году был собран </w:t>
      </w:r>
      <w:r>
        <w:rPr>
          <w:rFonts w:cs="Times New Roman" w:ascii="Times New Roman" w:hAnsi="Times New Roman"/>
          <w:b/>
          <w:bCs/>
          <w:sz w:val="28"/>
          <w:szCs w:val="28"/>
        </w:rPr>
        <w:t>компрессор «Вихрь-1»</w:t>
      </w:r>
      <w:r>
        <w:rPr>
          <w:rFonts w:cs="Times New Roman" w:ascii="Times New Roman" w:hAnsi="Times New Roman"/>
          <w:sz w:val="28"/>
          <w:szCs w:val="28"/>
        </w:rPr>
        <w:t>. Его особенность в том, что он на 90% состоял из узлов, найденных на школьном складе и принесенных учениками из дома. Анализ себестоимости показал, что наша сборка в 2,5 раза дешевле покупного аналога.</w:t>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2008 год стал годом большого прорыва. Мы создали два сложных сельхозагрегата:</w:t>
      </w:r>
    </w:p>
    <w:p>
      <w:pPr>
        <w:pStyle w:val="Normal"/>
        <w:numPr>
          <w:ilvl w:val="0"/>
          <w:numId w:val="6"/>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КАСОЗ (Казинский аппарат сортировки и очистки зерна)</w:t>
      </w:r>
      <w:r>
        <w:rPr>
          <w:rFonts w:cs="Times New Roman" w:ascii="Times New Roman" w:hAnsi="Times New Roman"/>
          <w:sz w:val="28"/>
          <w:szCs w:val="28"/>
        </w:rPr>
        <w:t> — машина, способная сортировать зерно на пять фракций воздушным потоком, не травмируя его. Аппарат мог стать импортозамещающим продуктом для малых фермерских хозяйств. Его конструкция проста и доступна для производства, а применение электричества делает его экологичным. Аппарат не только сортирует, но и подсушивает зерно.</w:t>
      </w:r>
    </w:p>
    <w:p>
      <w:pPr>
        <w:pStyle w:val="Normal"/>
        <w:numPr>
          <w:ilvl w:val="0"/>
          <w:numId w:val="6"/>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Очесывающая жатка к зерноуборочному комбайну</w:t>
      </w:r>
      <w:r>
        <w:rPr>
          <w:rFonts w:cs="Times New Roman" w:ascii="Times New Roman" w:hAnsi="Times New Roman"/>
          <w:sz w:val="28"/>
          <w:szCs w:val="28"/>
        </w:rPr>
        <w:t> — экспериментальная разработка, позволяющая убирать зерновые без скашивания, методом очеса колоса.</w:t>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В 2009 году мы вернулись к тракторной теме, создав </w:t>
      </w:r>
      <w:r>
        <w:rPr>
          <w:rFonts w:cs="Times New Roman" w:ascii="Times New Roman" w:hAnsi="Times New Roman"/>
          <w:b/>
          <w:bCs/>
          <w:sz w:val="28"/>
          <w:szCs w:val="28"/>
        </w:rPr>
        <w:t>«Кубик-3»</w:t>
      </w:r>
      <w:r>
        <w:rPr>
          <w:rFonts w:cs="Times New Roman" w:ascii="Times New Roman" w:hAnsi="Times New Roman"/>
          <w:sz w:val="28"/>
          <w:szCs w:val="28"/>
        </w:rPr>
        <w:t> с улучшенной трансмиссией и более мощным двигателем.</w:t>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Социальный поворот произошел в 2010 году после решений руководства страны об оптимизации школы с проектом </w:t>
      </w:r>
      <w:r>
        <w:rPr>
          <w:rFonts w:cs="Times New Roman" w:ascii="Times New Roman" w:hAnsi="Times New Roman"/>
          <w:b/>
          <w:bCs/>
          <w:sz w:val="28"/>
          <w:szCs w:val="28"/>
        </w:rPr>
        <w:t>«Тепло ли тебе, девица?»</w:t>
      </w:r>
      <w:r>
        <w:rPr>
          <w:rFonts w:cs="Times New Roman" w:ascii="Times New Roman" w:hAnsi="Times New Roman"/>
          <w:sz w:val="28"/>
          <w:szCs w:val="28"/>
        </w:rPr>
        <w:t> (реконструкция системы отопления Казинской школы). Мы не просто учились менять трубы, мы проводили теплотехнические расчеты, искали способы энергосбережения, учились заботиться об общем пространстве. Наш проект, по нашим расчетам, предполагал оптимизацию бюджетных затрат на отопление зданий нашей школы в четыре раза!</w:t>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В 2011 году мы расширили станочный парк школы, собрав </w:t>
      </w:r>
      <w:r>
        <w:rPr>
          <w:rFonts w:cs="Times New Roman" w:ascii="Times New Roman" w:hAnsi="Times New Roman"/>
          <w:b/>
          <w:bCs/>
          <w:sz w:val="28"/>
          <w:szCs w:val="28"/>
        </w:rPr>
        <w:t>деревообрабатывающий циркулярный станок</w:t>
      </w:r>
      <w:r>
        <w:rPr>
          <w:rFonts w:cs="Times New Roman" w:ascii="Times New Roman" w:hAnsi="Times New Roman"/>
          <w:sz w:val="28"/>
          <w:szCs w:val="28"/>
        </w:rPr>
        <w:t>. Это был первый шаг к созданию собственной производственной базы.</w:t>
      </w:r>
    </w:p>
    <w:p>
      <w:pPr>
        <w:pStyle w:val="Normal"/>
        <w:spacing w:lineRule="auto" w:line="360" w:before="0" w:after="160"/>
        <w:contextualSpacing/>
        <w:jc w:val="both"/>
        <w:rPr>
          <w:rFonts w:ascii="Times New Roman" w:hAnsi="Times New Roman" w:cs="Times New Roman"/>
          <w:b/>
          <w:bCs/>
          <w:sz w:val="28"/>
          <w:szCs w:val="28"/>
        </w:rPr>
      </w:pPr>
      <w:r>
        <w:rPr>
          <w:rFonts w:cs="Times New Roman" w:ascii="Times New Roman" w:hAnsi="Times New Roman"/>
          <w:b/>
          <w:bCs/>
          <w:sz w:val="28"/>
          <w:szCs w:val="28"/>
        </w:rPr>
        <w:t>2.3. Энергия будущего и альтернативная энергетика (2012–2014)</w:t>
      </w:r>
    </w:p>
    <w:p>
      <w:pPr>
        <w:pStyle w:val="Normal"/>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Период 2012–2014 годов ознаменовался выходом на принципиально новый уровень. Мы занялись альтернативной энергетикой. Эти проекты позволили нам выйти на краевые и всероссийские конкурсы: </w:t>
      </w:r>
      <w:r>
        <w:rPr>
          <w:rFonts w:cs="Times New Roman" w:ascii="Times New Roman" w:hAnsi="Times New Roman"/>
          <w:b/>
          <w:bCs/>
          <w:sz w:val="28"/>
          <w:szCs w:val="28"/>
        </w:rPr>
        <w:t>«Юность. Наука. Культура», «Шаг в будущее», «Таланты XXI века»</w:t>
      </w:r>
      <w:r>
        <w:rPr>
          <w:rFonts w:cs="Times New Roman" w:ascii="Times New Roman" w:hAnsi="Times New Roman"/>
          <w:sz w:val="28"/>
          <w:szCs w:val="28"/>
        </w:rPr>
        <w:t>.</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2012 году был создан проект </w:t>
      </w:r>
      <w:r>
        <w:rPr>
          <w:rFonts w:cs="Times New Roman" w:ascii="Times New Roman" w:hAnsi="Times New Roman"/>
          <w:b/>
          <w:bCs/>
          <w:sz w:val="28"/>
          <w:szCs w:val="28"/>
        </w:rPr>
        <w:t>«</w:t>
      </w:r>
      <w:r>
        <w:rPr>
          <w:rFonts w:cs="Times New Roman" w:ascii="Times New Roman" w:hAnsi="Times New Roman"/>
          <w:bCs/>
          <w:sz w:val="28"/>
          <w:szCs w:val="28"/>
        </w:rPr>
        <w:t>Вегеус Бат» (ветрогенератор башенного типа)</w:t>
      </w:r>
      <w:r>
        <w:rPr>
          <w:rFonts w:cs="Times New Roman" w:ascii="Times New Roman" w:hAnsi="Times New Roman"/>
          <w:sz w:val="28"/>
          <w:szCs w:val="28"/>
        </w:rPr>
        <w:t>. Мы изучали эффективность различных форм лопастей и искали способы генерации энергии даже при слабом ветре.</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2013 году мы разработали систему </w:t>
      </w:r>
      <w:r>
        <w:rPr>
          <w:rFonts w:cs="Times New Roman" w:ascii="Times New Roman" w:hAnsi="Times New Roman"/>
          <w:bCs/>
          <w:sz w:val="28"/>
          <w:szCs w:val="28"/>
        </w:rPr>
        <w:t>«Автоматическая ориентация солнечных батарей»</w:t>
      </w:r>
      <w:r>
        <w:rPr>
          <w:rFonts w:cs="Times New Roman" w:ascii="Times New Roman" w:hAnsi="Times New Roman"/>
          <w:sz w:val="28"/>
          <w:szCs w:val="28"/>
        </w:rPr>
        <w:t>. Устройство позволяло поворачивать панели вслед за солнцем, повышая их КПД на 30–40%.</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2014 году мы создали еще один важный станок — </w:t>
      </w:r>
      <w:r>
        <w:rPr>
          <w:rFonts w:cs="Times New Roman" w:ascii="Times New Roman" w:hAnsi="Times New Roman"/>
          <w:b/>
          <w:bCs/>
          <w:sz w:val="28"/>
          <w:szCs w:val="28"/>
        </w:rPr>
        <w:t>заточной</w:t>
      </w:r>
      <w:r>
        <w:rPr>
          <w:rFonts w:cs="Times New Roman" w:ascii="Times New Roman" w:hAnsi="Times New Roman"/>
          <w:sz w:val="28"/>
          <w:szCs w:val="28"/>
        </w:rPr>
        <w:t>, который позволял нам обслуживать собственный инструмент, и параллельно вели исследование ветроэнергетики.</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 последующие годы мы активно занимались оснащением собственных мастерских и продолжали тракторную тематику.</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2015:</w:t>
      </w:r>
      <w:r>
        <w:rPr>
          <w:rFonts w:cs="Times New Roman" w:ascii="Times New Roman" w:hAnsi="Times New Roman"/>
          <w:sz w:val="28"/>
          <w:szCs w:val="28"/>
        </w:rPr>
        <w:t> Проект </w:t>
      </w:r>
      <w:r>
        <w:rPr>
          <w:rFonts w:cs="Times New Roman" w:ascii="Times New Roman" w:hAnsi="Times New Roman"/>
          <w:b/>
          <w:bCs/>
          <w:sz w:val="28"/>
          <w:szCs w:val="28"/>
        </w:rPr>
        <w:t>«Мой триммер»</w:t>
      </w:r>
      <w:r>
        <w:rPr>
          <w:rFonts w:cs="Times New Roman" w:ascii="Times New Roman" w:hAnsi="Times New Roman"/>
          <w:sz w:val="28"/>
          <w:szCs w:val="28"/>
        </w:rPr>
        <w:t> — доработка и усовершенствование ручной техники для покоса травы на пришкольном участке.</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2016:</w:t>
      </w:r>
      <w:r>
        <w:rPr>
          <w:rFonts w:cs="Times New Roman" w:ascii="Times New Roman" w:hAnsi="Times New Roman"/>
          <w:sz w:val="28"/>
          <w:szCs w:val="28"/>
        </w:rPr>
        <w:t> </w:t>
      </w:r>
      <w:r>
        <w:rPr>
          <w:rFonts w:cs="Times New Roman" w:ascii="Times New Roman" w:hAnsi="Times New Roman"/>
          <w:b/>
          <w:bCs/>
          <w:sz w:val="28"/>
          <w:szCs w:val="28"/>
        </w:rPr>
        <w:t>«Кубик-4»</w:t>
      </w:r>
      <w:r>
        <w:rPr>
          <w:rFonts w:cs="Times New Roman" w:ascii="Times New Roman" w:hAnsi="Times New Roman"/>
          <w:sz w:val="28"/>
          <w:szCs w:val="28"/>
        </w:rPr>
        <w:t> (Электрокубик)— новая модель трактора с активными органами обработки почвы. Данная модель имела уменьшенные в пять раз размеры и нуждалась в практическом изготовлении настоящей действующей модели с испытанием различных кинематических схем трансмиссии трактора, включая электрическую трансмиссию вплоть до раздельной трасмиссиина привод колес и органов обработки почвы.</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2017:</w:t>
      </w:r>
      <w:r>
        <w:rPr>
          <w:rFonts w:cs="Times New Roman" w:ascii="Times New Roman" w:hAnsi="Times New Roman"/>
          <w:sz w:val="28"/>
          <w:szCs w:val="28"/>
        </w:rPr>
        <w:t> Изготовление </w:t>
      </w:r>
      <w:r>
        <w:rPr>
          <w:rFonts w:cs="Times New Roman" w:ascii="Times New Roman" w:hAnsi="Times New Roman"/>
          <w:b/>
          <w:bCs/>
          <w:sz w:val="28"/>
          <w:szCs w:val="28"/>
        </w:rPr>
        <w:t>Токарного деревообрабатывающего станка «ТДС-220»</w:t>
      </w:r>
      <w:r>
        <w:rPr>
          <w:rFonts w:cs="Times New Roman" w:ascii="Times New Roman" w:hAnsi="Times New Roman"/>
          <w:sz w:val="28"/>
          <w:szCs w:val="28"/>
        </w:rPr>
        <w:t>. Теперь мы могли вытачивать сложные детали, не обращаясь на сторону. В данном станке была применена регулировка оборотов электродвигателя с помощью изменения частоты переменного напряжения, питания двигателя. Это позволяло уйти от традиционной кинематической схемы станка и плавно изменять его обороты не останавливая работу двигателя от 500 до 2500 оборотов в минуту.</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2018:</w:t>
      </w:r>
      <w:r>
        <w:rPr>
          <w:rFonts w:cs="Times New Roman" w:ascii="Times New Roman" w:hAnsi="Times New Roman"/>
          <w:sz w:val="28"/>
          <w:szCs w:val="28"/>
        </w:rPr>
        <w:t> Проект </w:t>
      </w:r>
      <w:r>
        <w:rPr>
          <w:rFonts w:cs="Times New Roman" w:ascii="Times New Roman" w:hAnsi="Times New Roman"/>
          <w:b/>
          <w:bCs/>
          <w:sz w:val="28"/>
          <w:szCs w:val="28"/>
        </w:rPr>
        <w:t>«Электричество в школе»</w:t>
      </w:r>
      <w:r>
        <w:rPr>
          <w:rFonts w:cs="Times New Roman" w:ascii="Times New Roman" w:hAnsi="Times New Roman"/>
          <w:sz w:val="28"/>
          <w:szCs w:val="28"/>
        </w:rPr>
        <w:t> — исследование энергопотребления и разработка мер по экономии электроэнергии в масштабах учебного заведения. Теоретические расчеты проекта показали, что за 52 года эксплуатации алюминиевой проводки, при ценах и потреблении электроэнергии в объеме 2017 года, общие потери электроэнергии составили на момент подсчета стоимость новой медной проводки для всей школы!</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2019:</w:t>
      </w:r>
      <w:r>
        <w:rPr>
          <w:rFonts w:cs="Times New Roman" w:ascii="Times New Roman" w:hAnsi="Times New Roman"/>
          <w:sz w:val="28"/>
          <w:szCs w:val="28"/>
        </w:rPr>
        <w:t> Социально-статистический проект </w:t>
      </w:r>
      <w:r>
        <w:rPr>
          <w:rFonts w:cs="Times New Roman" w:ascii="Times New Roman" w:hAnsi="Times New Roman"/>
          <w:b/>
          <w:bCs/>
          <w:sz w:val="28"/>
          <w:szCs w:val="28"/>
        </w:rPr>
        <w:t>«Я люблю тебя, жизнь»</w:t>
      </w:r>
      <w:r>
        <w:rPr>
          <w:rFonts w:cs="Times New Roman" w:ascii="Times New Roman" w:hAnsi="Times New Roman"/>
          <w:sz w:val="28"/>
          <w:szCs w:val="28"/>
        </w:rPr>
        <w:t>. В связи с изменением пенсионного возраста мы провели расчет средней продолжительности жизни жителей села Казинка. Это был выход за рамки «чистой техники» в область социологии и демографии.</w:t>
      </w:r>
    </w:p>
    <w:p>
      <w:pPr>
        <w:pStyle w:val="Normal"/>
        <w:spacing w:lineRule="auto" w:line="360" w:before="0" w:after="160"/>
        <w:contextual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Последние пять лет стали временем завершения больших циклов и начала новых.</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2020:</w:t>
      </w:r>
      <w:r>
        <w:rPr>
          <w:rFonts w:cs="Times New Roman" w:ascii="Times New Roman" w:hAnsi="Times New Roman"/>
          <w:sz w:val="28"/>
          <w:szCs w:val="28"/>
        </w:rPr>
        <w:t> </w:t>
      </w:r>
      <w:r>
        <w:rPr>
          <w:rFonts w:cs="Times New Roman" w:ascii="Times New Roman" w:hAnsi="Times New Roman"/>
          <w:b/>
          <w:bCs/>
          <w:sz w:val="28"/>
          <w:szCs w:val="28"/>
        </w:rPr>
        <w:t>«Кубик-5»</w:t>
      </w:r>
      <w:r>
        <w:rPr>
          <w:rFonts w:cs="Times New Roman" w:ascii="Times New Roman" w:hAnsi="Times New Roman"/>
          <w:sz w:val="28"/>
          <w:szCs w:val="28"/>
        </w:rPr>
        <w:t xml:space="preserve"> — пятая модель трактора, вобравшая в себя лучшие конструкторские решения за 15 лет эволюции. </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 xml:space="preserve">А проект </w:t>
      </w:r>
      <w:r>
        <w:rPr>
          <w:rFonts w:cs="Times New Roman" w:ascii="Times New Roman" w:hAnsi="Times New Roman"/>
          <w:b/>
          <w:sz w:val="28"/>
          <w:szCs w:val="28"/>
        </w:rPr>
        <w:t>«Универсальный блок питания»</w:t>
      </w:r>
      <w:r>
        <w:rPr>
          <w:rFonts w:cs="Times New Roman" w:ascii="Times New Roman" w:hAnsi="Times New Roman"/>
          <w:sz w:val="28"/>
          <w:szCs w:val="28"/>
        </w:rPr>
        <w:t>, в котором были функции зарядки аккумулятора, пускового устройства для двигателя и контактно –точечного сварочного аппарата стал победителем регионального этапа олимпиады пот технологии и участвовал в заключительном этапе по технологии в городе Санкт- Петербург.</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2021:</w:t>
      </w:r>
      <w:r>
        <w:rPr>
          <w:rFonts w:cs="Times New Roman" w:ascii="Times New Roman" w:hAnsi="Times New Roman"/>
          <w:sz w:val="28"/>
          <w:szCs w:val="28"/>
        </w:rPr>
        <w:t> </w:t>
      </w:r>
      <w:r>
        <w:rPr>
          <w:rFonts w:cs="Times New Roman" w:ascii="Times New Roman" w:hAnsi="Times New Roman"/>
          <w:b/>
          <w:bCs/>
          <w:sz w:val="28"/>
          <w:szCs w:val="28"/>
        </w:rPr>
        <w:t>«Кубик-6»</w:t>
      </w:r>
      <w:r>
        <w:rPr>
          <w:rFonts w:cs="Times New Roman" w:ascii="Times New Roman" w:hAnsi="Times New Roman"/>
          <w:sz w:val="28"/>
          <w:szCs w:val="28"/>
        </w:rPr>
        <w:t> — модификация с усиленным мостом и улучшенным сцеплением.</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2022:</w:t>
      </w:r>
      <w:r>
        <w:rPr>
          <w:rFonts w:cs="Times New Roman" w:ascii="Times New Roman" w:hAnsi="Times New Roman"/>
          <w:sz w:val="28"/>
          <w:szCs w:val="28"/>
        </w:rPr>
        <w:t> </w:t>
      </w:r>
      <w:r>
        <w:rPr>
          <w:rFonts w:cs="Times New Roman" w:ascii="Times New Roman" w:hAnsi="Times New Roman"/>
          <w:b/>
          <w:bCs/>
          <w:sz w:val="28"/>
          <w:szCs w:val="28"/>
        </w:rPr>
        <w:t>Картофелесажалка</w:t>
      </w:r>
      <w:r>
        <w:rPr>
          <w:rFonts w:cs="Times New Roman" w:ascii="Times New Roman" w:hAnsi="Times New Roman"/>
          <w:sz w:val="28"/>
          <w:szCs w:val="28"/>
        </w:rPr>
        <w:t xml:space="preserve"> к мини-трактору — механизация посадки для ученической бригады. Данный проект стал призером на Международном конкурсе «Таланты </w:t>
      </w:r>
      <w:r>
        <w:rPr>
          <w:rFonts w:cs="Times New Roman" w:ascii="Times New Roman" w:hAnsi="Times New Roman"/>
          <w:sz w:val="28"/>
          <w:szCs w:val="28"/>
          <w:lang w:val="en-US"/>
        </w:rPr>
        <w:t>XXI</w:t>
      </w:r>
      <w:r>
        <w:rPr>
          <w:rFonts w:cs="Times New Roman" w:ascii="Times New Roman" w:hAnsi="Times New Roman"/>
          <w:sz w:val="28"/>
          <w:szCs w:val="28"/>
        </w:rPr>
        <w:t xml:space="preserve"> века» в городе Минск, Республики Беларусь.</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2023:</w:t>
      </w:r>
      <w:r>
        <w:rPr>
          <w:rFonts w:cs="Times New Roman" w:ascii="Times New Roman" w:hAnsi="Times New Roman"/>
          <w:sz w:val="28"/>
          <w:szCs w:val="28"/>
        </w:rPr>
        <w:t> </w:t>
      </w:r>
      <w:r>
        <w:rPr>
          <w:rFonts w:cs="Times New Roman" w:ascii="Times New Roman" w:hAnsi="Times New Roman"/>
          <w:b/>
          <w:bCs/>
          <w:sz w:val="28"/>
          <w:szCs w:val="28"/>
        </w:rPr>
        <w:t>Картофелекопалка</w:t>
      </w:r>
      <w:r>
        <w:rPr>
          <w:rFonts w:cs="Times New Roman" w:ascii="Times New Roman" w:hAnsi="Times New Roman"/>
          <w:sz w:val="28"/>
          <w:szCs w:val="28"/>
        </w:rPr>
        <w:t> — завершение цикла «посадка-уборка» собственными силами.</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2024:</w:t>
      </w:r>
      <w:r>
        <w:rPr>
          <w:rFonts w:cs="Times New Roman" w:ascii="Times New Roman" w:hAnsi="Times New Roman"/>
          <w:sz w:val="28"/>
          <w:szCs w:val="28"/>
        </w:rPr>
        <w:t> </w:t>
      </w:r>
      <w:r>
        <w:rPr>
          <w:rFonts w:cs="Times New Roman" w:ascii="Times New Roman" w:hAnsi="Times New Roman"/>
          <w:b/>
          <w:bCs/>
          <w:sz w:val="28"/>
          <w:szCs w:val="28"/>
        </w:rPr>
        <w:t>Лущильник к мини-трактору</w:t>
      </w:r>
      <w:r>
        <w:rPr>
          <w:rFonts w:cs="Times New Roman" w:ascii="Times New Roman" w:hAnsi="Times New Roman"/>
          <w:sz w:val="28"/>
          <w:szCs w:val="28"/>
        </w:rPr>
        <w:t xml:space="preserve"> — орудие для поверхностной обработки почвы. </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sz w:val="28"/>
          <w:szCs w:val="28"/>
        </w:rPr>
        <w:t xml:space="preserve">Электрический лобзик – </w:t>
      </w:r>
      <w:r>
        <w:rPr>
          <w:rFonts w:cs="Times New Roman" w:ascii="Times New Roman" w:hAnsi="Times New Roman"/>
          <w:sz w:val="28"/>
          <w:szCs w:val="28"/>
        </w:rPr>
        <w:t>станок для выпиливания изделий из фанеры.</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b/>
          <w:bCs/>
          <w:sz w:val="28"/>
          <w:szCs w:val="28"/>
        </w:rPr>
        <w:t>2025–2026:</w:t>
      </w:r>
      <w:r>
        <w:rPr>
          <w:rFonts w:cs="Times New Roman" w:ascii="Times New Roman" w:hAnsi="Times New Roman"/>
          <w:sz w:val="28"/>
          <w:szCs w:val="28"/>
        </w:rPr>
        <w:t> </w:t>
      </w:r>
      <w:r>
        <w:rPr>
          <w:rFonts w:cs="Times New Roman" w:ascii="Times New Roman" w:hAnsi="Times New Roman"/>
          <w:b/>
          <w:sz w:val="28"/>
          <w:szCs w:val="28"/>
        </w:rPr>
        <w:t>Ленточно-шлифовальный станок</w:t>
      </w:r>
      <w:r>
        <w:rPr>
          <w:rFonts w:cs="Times New Roman" w:ascii="Times New Roman" w:hAnsi="Times New Roman"/>
          <w:sz w:val="28"/>
          <w:szCs w:val="28"/>
        </w:rPr>
        <w:t xml:space="preserve"> – станок который необходим в школьных мастерских для заточки и шлифовки отдельных деталей. </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Проект </w:t>
      </w:r>
      <w:r>
        <w:rPr>
          <w:rFonts w:cs="Times New Roman" w:ascii="Times New Roman" w:hAnsi="Times New Roman"/>
          <w:b/>
          <w:bCs/>
          <w:sz w:val="28"/>
          <w:szCs w:val="28"/>
        </w:rPr>
        <w:t>«Багги»</w:t>
      </w:r>
      <w:r>
        <w:rPr>
          <w:rFonts w:cs="Times New Roman" w:ascii="Times New Roman" w:hAnsi="Times New Roman"/>
          <w:sz w:val="28"/>
          <w:szCs w:val="28"/>
        </w:rPr>
        <w:t>. Это не просто новая машина, а ответ на запрос безопасности детей на дорогах. Статистика ДТП с участием школьников часто указывает на недостаток опыта вождения. Картинг имеет недостаток — отсутствие амортизаторов вызывает излишнюю вибрацию при езде по грунтовому покрытию. Поэтому мы решили изготовить на картинге мягкую подвеску, установив передние и задние амортизаторы. Транспортное средство такого класса с амортизаторами является уже не картингом, а багги.</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Багги получился вполне приличным. Первые испытания показали его маневренность и неплохую проходимость — он мог ехать даже по снегу высотой до 20 мм. В будущем возможно изготовление световой и звуковой сигнализации.</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Сегодня мы не собираемся останавливаться на достигнутом. Накопленный опыт, появление новых материалов и технологий подводят нас к созданию следующей модели. У нас есть перспектива разработать </w:t>
      </w:r>
      <w:r>
        <w:rPr>
          <w:rFonts w:cs="Times New Roman" w:ascii="Times New Roman" w:hAnsi="Times New Roman"/>
          <w:b/>
          <w:bCs/>
          <w:sz w:val="28"/>
          <w:szCs w:val="28"/>
        </w:rPr>
        <w:t>«Кубик-7»</w:t>
      </w:r>
      <w:r>
        <w:rPr>
          <w:rFonts w:cs="Times New Roman" w:ascii="Times New Roman" w:hAnsi="Times New Roman"/>
          <w:sz w:val="28"/>
          <w:szCs w:val="28"/>
        </w:rPr>
        <w:t xml:space="preserve">. Каким он будет? Возможно, с дизельным двигателем, с усиленной гидравликой, с элементами автоматики. </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 xml:space="preserve">Есть также в планах разработать новую модель Багги с более мощным двигателем, дифференциалом и увеличенным диаметром колес. </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Во внеурочное время старшеклассники по - прежнему проходят профессиональное обучение по профессии Т</w:t>
      </w:r>
      <w:r>
        <w:rPr>
          <w:rFonts w:cs="Times New Roman" w:ascii="Times New Roman" w:hAnsi="Times New Roman"/>
          <w:b/>
          <w:bCs/>
          <w:sz w:val="28"/>
          <w:szCs w:val="28"/>
        </w:rPr>
        <w:t>ракторист-машинист категорий B, C, E, F</w:t>
      </w:r>
      <w:r>
        <w:rPr>
          <w:rFonts w:cs="Times New Roman" w:ascii="Times New Roman" w:hAnsi="Times New Roman"/>
          <w:sz w:val="28"/>
          <w:szCs w:val="28"/>
        </w:rPr>
        <w:t>. В процессе изучения тракторов также не редко проявляется у ребят углубленное увлечение отдельными механизмами, системами двигателей и видами трансмиссий. Выдвигаются самые различные идеи их модернизации и изменений.</w:t>
      </w:r>
    </w:p>
    <w:p>
      <w:pPr>
        <w:pStyle w:val="Normal"/>
        <w:spacing w:lineRule="auto" w:line="360" w:before="0" w:after="160"/>
        <w:ind w:firstLine="708"/>
        <w:contextual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Главное, что процесс эволюции продолжается, а значит, у новых поколений школьников Казинки будут новые вызовы и новые победы.</w:t>
      </w:r>
    </w:p>
    <w:p>
      <w:pPr>
        <w:pStyle w:val="Normal"/>
        <w:spacing w:lineRule="auto" w:line="360" w:before="0" w:after="160"/>
        <w:ind w:firstLine="708"/>
        <w:contextualSpacing/>
        <w:jc w:val="center"/>
        <w:rPr>
          <w:rFonts w:ascii="Times New Roman" w:hAnsi="Times New Roman" w:cs="Times New Roman"/>
          <w:b/>
          <w:bCs/>
          <w:sz w:val="28"/>
          <w:szCs w:val="28"/>
        </w:rPr>
      </w:pPr>
      <w:r>
        <w:rPr>
          <w:rFonts w:cs="Times New Roman" w:ascii="Times New Roman" w:hAnsi="Times New Roman"/>
          <w:b/>
          <w:bCs/>
          <w:sz w:val="28"/>
          <w:szCs w:val="28"/>
        </w:rPr>
        <w:t>Заключение</w:t>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Оглядываясь на пройденный путь от «Кубика-1» до «Багги», можно выделить три главных итога работы системы наставничества:</w:t>
      </w:r>
    </w:p>
    <w:p>
      <w:pPr>
        <w:pStyle w:val="Normal"/>
        <w:numPr>
          <w:ilvl w:val="0"/>
          <w:numId w:val="7"/>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Реальная продукция.</w:t>
      </w:r>
      <w:r>
        <w:rPr>
          <w:rFonts w:cs="Times New Roman" w:ascii="Times New Roman" w:hAnsi="Times New Roman"/>
          <w:sz w:val="28"/>
          <w:szCs w:val="28"/>
        </w:rPr>
        <w:t> Десятки единиц техники и станков, созданных руками детей и работающих до сих пор. Это не макеты — это действующие машины.</w:t>
      </w:r>
    </w:p>
    <w:p>
      <w:pPr>
        <w:pStyle w:val="Normal"/>
        <w:numPr>
          <w:ilvl w:val="0"/>
          <w:numId w:val="7"/>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Профессиональный рост.</w:t>
      </w:r>
      <w:r>
        <w:rPr>
          <w:rFonts w:cs="Times New Roman" w:ascii="Times New Roman" w:hAnsi="Times New Roman"/>
          <w:sz w:val="28"/>
          <w:szCs w:val="28"/>
        </w:rPr>
        <w:t> Ребята не просто получают школьные оценки. Они приобретают рабочие профессии (тракторист-машинист категорий B, C, E, F), учатся работать на станках, осваивают сварку и электротехнику.</w:t>
      </w:r>
    </w:p>
    <w:p>
      <w:pPr>
        <w:pStyle w:val="Normal"/>
        <w:numPr>
          <w:ilvl w:val="0"/>
          <w:numId w:val="7"/>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b/>
          <w:bCs/>
          <w:sz w:val="28"/>
          <w:szCs w:val="28"/>
        </w:rPr>
        <w:t>Победители.</w:t>
      </w:r>
      <w:r>
        <w:rPr>
          <w:rFonts w:cs="Times New Roman" w:ascii="Times New Roman" w:hAnsi="Times New Roman"/>
          <w:sz w:val="28"/>
          <w:szCs w:val="28"/>
        </w:rPr>
        <w:t> Наши проекты отмечены дипломами конкурсов «Юность. Наука. Культура», «Таланты XXI века», «Шаг в будущее». Но главная победа — это поступление выпускников в ведущие вузы и их успешная работа по инженерным специальностям.</w:t>
      </w:r>
    </w:p>
    <w:p>
      <w:pPr>
        <w:pStyle w:val="Normal"/>
        <w:spacing w:lineRule="auto" w:line="360" w:before="0" w:after="160"/>
        <w:ind w:firstLine="360"/>
        <w:contextualSpacing/>
        <w:jc w:val="both"/>
        <w:rPr>
          <w:rFonts w:ascii="Times New Roman" w:hAnsi="Times New Roman" w:cs="Times New Roman"/>
          <w:sz w:val="28"/>
          <w:szCs w:val="28"/>
        </w:rPr>
      </w:pPr>
      <w:r>
        <w:rPr>
          <w:rFonts w:cs="Times New Roman" w:ascii="Times New Roman" w:hAnsi="Times New Roman"/>
          <w:sz w:val="28"/>
          <w:szCs w:val="28"/>
        </w:rPr>
        <w:t>Наставничество в дополнительном образовании — это мост между школьной скамьей и большой профессиональной жизнью. И строить этот мост нужно из надежного материала — из металла, идей и общей увлеченности.</w:t>
      </w:r>
    </w:p>
    <w:p>
      <w:pPr>
        <w:pStyle w:val="Normal"/>
        <w:spacing w:lineRule="auto" w:line="360" w:before="0" w:after="160"/>
        <w:contextualSpacing/>
        <w:jc w:val="center"/>
        <w:rPr>
          <w:rFonts w:ascii="Times New Roman" w:hAnsi="Times New Roman" w:cs="Times New Roman"/>
          <w:b/>
          <w:bCs/>
          <w:sz w:val="28"/>
          <w:szCs w:val="28"/>
        </w:rPr>
      </w:pPr>
      <w:r>
        <w:rPr>
          <w:rFonts w:cs="Times New Roman" w:ascii="Times New Roman" w:hAnsi="Times New Roman"/>
          <w:b/>
          <w:bCs/>
          <w:sz w:val="28"/>
          <w:szCs w:val="28"/>
        </w:rPr>
        <w:t>Список литературы</w:t>
      </w:r>
    </w:p>
    <w:p>
      <w:pPr>
        <w:pStyle w:val="Normal"/>
        <w:numPr>
          <w:ilvl w:val="0"/>
          <w:numId w:val="8"/>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Протопопова, В.А. Структурно-динамическая модель наставничества в опережающих образовательных системах дополнительного профессионального педагогического образования / В.А. Протопопова, А.В. Тищенко // Интернет-журнал «Мир науки». — 2018. — № 3, Том 6.</w:t>
      </w:r>
    </w:p>
    <w:p>
      <w:pPr>
        <w:pStyle w:val="Normal"/>
        <w:numPr>
          <w:ilvl w:val="0"/>
          <w:numId w:val="8"/>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Яковенко, Т.В. Наставничество в системе дополнительного профессионального образования: принципы и закономерности / Т.В. Яковенко // Проблемы современного педагогического образования. — 2024. — № 83-4. — С. 259-262.</w:t>
      </w:r>
    </w:p>
    <w:p>
      <w:pPr>
        <w:pStyle w:val="Normal"/>
        <w:numPr>
          <w:ilvl w:val="0"/>
          <w:numId w:val="8"/>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Шустова, Л.П. Образовательный проект наставничества как одна из социокультурных практик учреждения дополнительного образования / Л.П. Шустова [и др.] // Современные проблемы науки и образования.</w:t>
      </w:r>
    </w:p>
    <w:p>
      <w:pPr>
        <w:pStyle w:val="Normal"/>
        <w:numPr>
          <w:ilvl w:val="0"/>
          <w:numId w:val="8"/>
        </w:numPr>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t>Ворожейкина, А.В. Теоретико-методологические основы тьюторства и менторства в дополнительном профессиональном педагогическом образовании / А.В. Ворожейкина, И.А. Скоробренко // КПЖ. — 2022.</w:t>
      </w:r>
    </w:p>
    <w:p>
      <w:pPr>
        <w:pStyle w:val="Normal"/>
        <w:spacing w:lineRule="auto" w:line="360" w:before="0" w:after="160"/>
        <w:contextualSpacing/>
        <w:jc w:val="both"/>
        <w:rPr>
          <w:rFonts w:ascii="Times New Roman" w:hAnsi="Times New Roman" w:cs="Times New Roman"/>
          <w:sz w:val="28"/>
          <w:szCs w:val="28"/>
        </w:rPr>
      </w:pPr>
      <w:r>
        <w:rPr>
          <w:rFonts w:cs="Times New Roman" w:ascii="Times New Roman" w:hAnsi="Times New Roman"/>
          <w:sz w:val="28"/>
          <w:szCs w:val="28"/>
        </w:rPr>
      </w:r>
      <w:bookmarkStart w:id="0" w:name="_GoBack"/>
      <w:bookmarkStart w:id="1" w:name="_GoBack"/>
      <w:bookmarkEnd w:id="1"/>
    </w:p>
    <w:sectPr>
      <w:footerReference w:type="default" r:id="rId2"/>
      <w:type w:val="nextPage"/>
      <w:pgSz w:w="11906" w:h="16838"/>
      <w:pgMar w:left="1701" w:right="850" w:gutter="0" w:header="0" w:top="1134" w:footer="1134" w:bottom="186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60"/>
      <w:jc w:val="center"/>
      <w:rPr/>
    </w:pPr>
    <w:bookmarkStart w:id="2" w:name="PageNumWizard_FOOTER_Базовый3"/>
    <w:r>
      <w:rPr/>
      <w:fldChar w:fldCharType="begin"/>
    </w:r>
    <w:r>
      <w:rPr/>
      <w:instrText xml:space="preserve"> PAGE </w:instrText>
    </w:r>
    <w:r>
      <w:rPr/>
      <w:fldChar w:fldCharType="separate"/>
    </w:r>
    <w:r>
      <w:rPr/>
      <w:t>10</w:t>
    </w:r>
    <w:r>
      <w:rPr/>
      <w:fldChar w:fldCharType="end"/>
    </w:r>
    <w:bookmarkEnd w:id="2"/>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7">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8">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36"/>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Указатель"/>
    <w:basedOn w:val="Normal"/>
    <w:qFormat/>
    <w:pPr>
      <w:suppressLineNumbers/>
    </w:pPr>
    <w:rPr>
      <w:rFonts w:cs="Lucida Sans"/>
    </w:rPr>
  </w:style>
  <w:style w:type="paragraph" w:styleId="Style16">
    <w:name w:val="Колонтитулы"/>
    <w:basedOn w:val="Normal"/>
    <w:qFormat/>
    <w:pPr>
      <w:suppressLineNumbers/>
      <w:tabs>
        <w:tab w:val="clear" w:pos="708"/>
        <w:tab w:val="center" w:pos="4677" w:leader="none"/>
        <w:tab w:val="right" w:pos="9355" w:leader="none"/>
      </w:tabs>
    </w:pPr>
    <w:rPr/>
  </w:style>
  <w:style w:type="paragraph" w:styleId="Footer">
    <w:name w:val="footer"/>
    <w:basedOn w:val="Style16"/>
    <w:pPr>
      <w:suppressLineNumbers/>
    </w:pPr>
    <w:rPr/>
  </w:style>
  <w:style w:type="numbering" w:styleId="Style17"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TotalTime>
  <Application>LibreOffice/25.2.7.2$Windows_X86_64 LibreOffice_project/5cbfd1ab6520636bb5f7b99185aa69bd7456825d</Application>
  <AppVersion>15.0000</AppVersion>
  <Pages>10</Pages>
  <Words>1799</Words>
  <Characters>12810</Characters>
  <CharactersWithSpaces>14542</CharactersWithSpaces>
  <Paragraphs>91</Paragraphs>
  <Company>ZverDVD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2026-03-09T20:25:00Z</dcterms:created>
  <dc:creator>Zver</dc:creator>
  <dc:description/>
  <dc:language>ru-RU</dc:language>
  <cp:lastModifiedBy/>
  <dcterms:modified xsi:type="dcterms:W3CDTF">2026-03-10T11:31:54Z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