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C6DCE0">
      <w:pPr>
        <w:spacing w:line="276" w:lineRule="auto"/>
        <w:ind w:firstLine="709"/>
        <w:jc w:val="both"/>
        <w:rPr>
          <w:i/>
          <w:iCs/>
          <w:sz w:val="28"/>
          <w:szCs w:val="28"/>
        </w:rPr>
      </w:pPr>
      <w:r>
        <w:rPr>
          <w:b/>
          <w:iCs/>
          <w:sz w:val="28"/>
          <w:szCs w:val="28"/>
        </w:rPr>
        <w:t>Методические требования по выполнению контрольных работ</w:t>
      </w:r>
    </w:p>
    <w:p w14:paraId="6806F6F2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Выполнение контрольной работы является составной частью учебного процесса и формой самостоятельной работы студента. Выполнение данного вида работы позволяет  приобрести навыки и умения грамотно использовать  учебную и специальную литературу.</w:t>
      </w:r>
    </w:p>
    <w:p w14:paraId="37862CA6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учебному плану по дисциплине «Педагогика» студент-заочник должен выполнить одну контрольную работу. Целью контрольной работы является усвоение изученного материала и умение анализировать. </w:t>
      </w:r>
    </w:p>
    <w:p w14:paraId="7B938945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Тематика контрольной работы, как правило, не совпадает с формулировкой учебных тем курса и рассчитана, прежде всего, на творческое применение полученных знаний, что имеет существенное значение для подготовки будущего специалиста.</w:t>
      </w:r>
    </w:p>
    <w:p w14:paraId="282ABCFA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Вопрос, являющийся темой контрольной работы, должен быть освещен на основе изучения рекомендованной литературы, как правило, шире и обстоятельнее, нежели он изложен в учебной литературе либо изучается в ходе учебных занятий. Работа оценивается «зачтено» или «незачтено». </w:t>
      </w:r>
    </w:p>
    <w:p w14:paraId="40D4FEDB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Подготовка студентом контрольной работы проходит следующие основные этапы:</w:t>
      </w:r>
    </w:p>
    <w:p w14:paraId="6B79B048">
      <w:pPr>
        <w:widowControl w:val="0"/>
        <w:numPr>
          <w:ilvl w:val="0"/>
          <w:numId w:val="1"/>
        </w:numPr>
        <w:tabs>
          <w:tab w:val="left" w:pos="567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выбор темы либо определение задания;</w:t>
      </w:r>
    </w:p>
    <w:p w14:paraId="2BC89C0C">
      <w:pPr>
        <w:widowControl w:val="0"/>
        <w:numPr>
          <w:ilvl w:val="0"/>
          <w:numId w:val="1"/>
        </w:numPr>
        <w:tabs>
          <w:tab w:val="left" w:pos="567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подбор литературы;</w:t>
      </w:r>
    </w:p>
    <w:p w14:paraId="5F738731">
      <w:pPr>
        <w:widowControl w:val="0"/>
        <w:numPr>
          <w:ilvl w:val="0"/>
          <w:numId w:val="1"/>
        </w:numPr>
        <w:tabs>
          <w:tab w:val="left" w:pos="567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составление плана;</w:t>
      </w:r>
    </w:p>
    <w:p w14:paraId="0245B796">
      <w:pPr>
        <w:widowControl w:val="0"/>
        <w:numPr>
          <w:ilvl w:val="0"/>
          <w:numId w:val="1"/>
        </w:numPr>
        <w:tabs>
          <w:tab w:val="left" w:pos="567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оформление контрольной работы и представление педагогу.</w:t>
      </w:r>
    </w:p>
    <w:p w14:paraId="1E89E914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Тема контрольной работы выбирается из предлагаемого ниже списка по желанию студента. </w:t>
      </w:r>
    </w:p>
    <w:p w14:paraId="557E6FA8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подборе литературы и других источников следует внимательно изучить перечень литературы, предлагаемой к выбранной вами теме работы, ознакомиться с новыми поступлениями библиотеки, при необходимости получить консультацию у преподавателя, ведущего курс. </w:t>
      </w:r>
    </w:p>
    <w:p w14:paraId="7248F2F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Структура выполненной работы зависит от её характера, но должна содержать в себе – теоретическую часть.</w:t>
      </w:r>
    </w:p>
    <w:p w14:paraId="2E9AADEF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План является одним из важнейших элементов работы. Его содержание должно, с одной стороны, отражать содержание избранной темы, с другой стороны, подтверждать наличие у вас необходимого научного и учебного материала. Составленный вами план должен быть достаточно компактным, отражающим 3-5 вопросов теоретического характера. Следует помнить, что текст работы  не должен расходиться с составленным вами планом. Вопросы плана контрольной работы следует воспроизводить в тексте работы. При написании контрольной работы  в план необходимо включить введение; вопросы основной части; заключение; список использованных источников.</w:t>
      </w:r>
    </w:p>
    <w:p w14:paraId="121F5645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выполнении контрольной работы необходимо, прежде всего, прочитать соответствующий раздел учебника или учебного пособия, затем ознакомиться с дополнительной литературой, рекомендованной к самостоятельному изучению. Лишь после этой предварительной подготовки можно приступить к написанию текста. </w:t>
      </w:r>
    </w:p>
    <w:p w14:paraId="42E5D956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Основные положения и выводы работы должны быть обобщены в заключении. </w:t>
      </w:r>
    </w:p>
    <w:p w14:paraId="45AD4561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Введение, заключение, список использованных источников и литература должны начинаться с нового листа. </w:t>
      </w:r>
    </w:p>
    <w:p w14:paraId="3798EB0C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Сноски и ссылки могут оформляться в тексте в скобках (сразу после цитаты, пересказа) с указанием номера работы по списку используемых источников и соответствующих страниц этой работы. Например: [1,с.45]. </w:t>
      </w:r>
    </w:p>
    <w:p w14:paraId="25B44449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Контрольная работа завершается списком использованных источников, который должен быть составлен в соответствии с установленными правилами. При написании работы необходимо использовать не менее пяти источников.</w:t>
      </w:r>
    </w:p>
    <w:p w14:paraId="43FFAED3">
      <w:pPr>
        <w:widowControl w:val="0"/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Оформление контрольной работы. </w:t>
      </w:r>
    </w:p>
    <w:p w14:paraId="2E19DA33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Контрольная работа выполняется в соответствии с учебным планом и должна соответствовать требованиям, предъявляемым к этому виду деятельности. Работа представляется на проверку не позднее, чем за 5 дней  до зачёта. </w:t>
      </w:r>
    </w:p>
    <w:p w14:paraId="5A2808FD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Контрольная работа может быть оформлена следующим образом:</w:t>
      </w:r>
    </w:p>
    <w:p w14:paraId="0AEE63F7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объем работы 12 листов (через строчку) или формат А-4, соответственно 10-15 листов (через 1,5 интервала).</w:t>
      </w:r>
    </w:p>
    <w:p w14:paraId="4340F41B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Работа пишется на стандартных листах бумаги аккуратным, разборчивым подчерком или может быть набрана на компьютере, шрифт Times New Roman 14. На листе должны быть поля. С левой стороны страницы оставляется поле шириной не менее 30 мм, с правой стороны не менее 15 мм, вверху не менее 20 мм  и внизу страницы не менее 20 мм.</w:t>
      </w:r>
    </w:p>
    <w:p w14:paraId="2B152C99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Оформленная контрольная работы должна быть написана аккуратным, разборчивым подчерком. Листы следует пронумеровать и скрепить. На первом листе должны быть указаны тема или вариант, на втором - план работы.</w:t>
      </w:r>
    </w:p>
    <w:p w14:paraId="67CDFB9F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Все рисунки, схемы и таблицы также нумеруются. Нумерация - сквозная (т.е. номер один, два и т.д.). </w:t>
      </w:r>
    </w:p>
    <w:p w14:paraId="29886376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Первой страницей является титульный лист, на второй находится план работы, поэтому нумерация начинается с третьей страницы.</w:t>
      </w:r>
    </w:p>
    <w:p w14:paraId="6E3C6A1A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Контрольная работа должна иметь титульный лист с указанием следующих реквизитов: фамилии, имени, отчества студента, специальности, группы.</w:t>
      </w:r>
    </w:p>
    <w:p w14:paraId="21AC3272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Работа должна быть написана грамотным литературным языком, четко и аккуратно. При использовании в тексте цитат, цифр, других фактических сведений необходимо внизу страницы (как в монографиях) делать ссылки на источник их получения. </w:t>
      </w:r>
    </w:p>
    <w:p w14:paraId="4EA5EC69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тексте недопустимо сокращение слов, терминологических оборотов, наименования органов и организаций, если такие сокращения не являются общепринятыми в литературе. Не допускается дословное заимствование текста из опубликованных литературных источников без ссылки на них.</w:t>
      </w:r>
    </w:p>
    <w:p w14:paraId="430121A1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В тетради необходимо оставлять поля для замечаний преподавателя, а в конце работы оставлять страницу для рецензии преподавателя на выполненную работу. </w:t>
      </w:r>
    </w:p>
    <w:p w14:paraId="6FBADF7A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 Если работа не зачтена, она с учетом сделанных замечаний в рецензии преподавателя должна быть переработана и вместе с первым вариантом представлена на повторное рецензирование. </w:t>
      </w:r>
    </w:p>
    <w:p w14:paraId="5253482F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8. Работу следует представить педагогу в четко определенный срок: за 5 дней до зачёта. В случае его несоблюдения работа не рецензируется. Указанные в рецензии замечания необходимо устранить. </w:t>
      </w:r>
    </w:p>
    <w:p w14:paraId="23096FAB">
      <w:pPr>
        <w:widowControl w:val="0"/>
        <w:spacing w:line="276" w:lineRule="auto"/>
        <w:ind w:firstLine="709"/>
        <w:jc w:val="both"/>
        <w:rPr>
          <w:color w:val="000000"/>
          <w:sz w:val="28"/>
          <w:szCs w:val="28"/>
        </w:rPr>
      </w:pPr>
    </w:p>
    <w:p w14:paraId="5AE50BA1">
      <w:pPr>
        <w:spacing w:line="276" w:lineRule="auto"/>
        <w:ind w:firstLine="709"/>
        <w:rPr>
          <w:sz w:val="28"/>
          <w:szCs w:val="28"/>
        </w:rPr>
      </w:pPr>
    </w:p>
    <w:p w14:paraId="198E3CAF"/>
    <w:p w14:paraId="14420657"/>
    <w:p w14:paraId="393DECA3"/>
    <w:p w14:paraId="0CE69B34"/>
    <w:p w14:paraId="2B6B9F27"/>
    <w:p w14:paraId="7F430781"/>
    <w:p w14:paraId="70F54DC6"/>
    <w:p w14:paraId="6B62D198"/>
    <w:p w14:paraId="47E9C505"/>
    <w:p w14:paraId="6CE3845B"/>
    <w:p w14:paraId="7C2A02A8"/>
    <w:p w14:paraId="35328D83"/>
    <w:p w14:paraId="13F81FF4"/>
    <w:p w14:paraId="4B790A1E"/>
    <w:p w14:paraId="2A6DAB78"/>
    <w:p w14:paraId="109249FD"/>
    <w:p w14:paraId="63DA1F47"/>
    <w:p w14:paraId="33E4CCA8"/>
    <w:p w14:paraId="626D1FCE"/>
    <w:p w14:paraId="0A47A878"/>
    <w:p w14:paraId="5AF78D66"/>
    <w:p w14:paraId="582F02E3"/>
    <w:p w14:paraId="36CE358F"/>
    <w:p w14:paraId="6EFA929A"/>
    <w:p w14:paraId="58A2FBF8"/>
    <w:p w14:paraId="0C03DB3D">
      <w:pPr>
        <w:tabs>
          <w:tab w:val="left" w:pos="1197"/>
        </w:tabs>
        <w:jc w:val="center"/>
        <w:rPr>
          <w:lang w:eastAsia="en-US"/>
        </w:rPr>
      </w:pPr>
      <w:r>
        <w:rPr>
          <w:lang w:eastAsia="en-US"/>
        </w:rPr>
        <w:t>Департамент образования молодежной политики</w:t>
      </w:r>
    </w:p>
    <w:p w14:paraId="4436C75F">
      <w:pPr>
        <w:tabs>
          <w:tab w:val="left" w:pos="1197"/>
        </w:tabs>
        <w:jc w:val="center"/>
        <w:rPr>
          <w:lang w:eastAsia="en-US"/>
        </w:rPr>
      </w:pPr>
      <w:r>
        <w:rPr>
          <w:lang w:eastAsia="en-US"/>
        </w:rPr>
        <w:t>Ханты-Мансийского  автономного округа -  Югры</w:t>
      </w:r>
    </w:p>
    <w:p w14:paraId="2F55F0D7">
      <w:pPr>
        <w:tabs>
          <w:tab w:val="left" w:pos="1197"/>
        </w:tabs>
        <w:jc w:val="center"/>
        <w:rPr>
          <w:lang w:eastAsia="en-US"/>
        </w:rPr>
      </w:pPr>
      <w:r>
        <w:rPr>
          <w:lang w:eastAsia="en-US"/>
        </w:rPr>
        <w:t>бюджетное учреждение профессионального образования</w:t>
      </w:r>
    </w:p>
    <w:p w14:paraId="5EF6652B">
      <w:pPr>
        <w:tabs>
          <w:tab w:val="left" w:pos="1197"/>
        </w:tabs>
        <w:jc w:val="center"/>
        <w:rPr>
          <w:lang w:eastAsia="en-US"/>
        </w:rPr>
      </w:pPr>
      <w:r>
        <w:rPr>
          <w:lang w:eastAsia="en-US"/>
        </w:rPr>
        <w:t>Ханты-Мансийского автономного округа - Югры</w:t>
      </w:r>
    </w:p>
    <w:p w14:paraId="1E664BBB">
      <w:pPr>
        <w:tabs>
          <w:tab w:val="left" w:pos="1197"/>
        </w:tabs>
        <w:jc w:val="center"/>
        <w:rPr>
          <w:lang w:eastAsia="en-US"/>
        </w:rPr>
      </w:pPr>
      <w:r>
        <w:rPr>
          <w:lang w:eastAsia="en-US"/>
        </w:rPr>
        <w:t>«</w:t>
      </w:r>
      <w:r>
        <w:rPr>
          <w:lang w:val="ru-RU" w:eastAsia="en-US"/>
        </w:rPr>
        <w:t>Урайский</w:t>
      </w:r>
      <w:r>
        <w:rPr>
          <w:rFonts w:hint="default"/>
          <w:lang w:val="ru-RU" w:eastAsia="en-US"/>
        </w:rPr>
        <w:t xml:space="preserve"> </w:t>
      </w:r>
      <w:r>
        <w:rPr>
          <w:lang w:val="ru-RU" w:eastAsia="en-US"/>
        </w:rPr>
        <w:t>политехнический</w:t>
      </w:r>
      <w:r>
        <w:rPr>
          <w:rFonts w:hint="default"/>
          <w:lang w:val="ru-RU" w:eastAsia="en-US"/>
        </w:rPr>
        <w:t xml:space="preserve"> </w:t>
      </w:r>
      <w:r>
        <w:rPr>
          <w:lang w:eastAsia="en-US"/>
        </w:rPr>
        <w:t>колледж»</w:t>
      </w:r>
    </w:p>
    <w:p w14:paraId="5ACD2AE9">
      <w:pPr>
        <w:spacing w:after="200" w:line="276" w:lineRule="auto"/>
        <w:jc w:val="center"/>
        <w:rPr>
          <w:rFonts w:ascii="Calibri" w:hAnsi="Calibri"/>
          <w:sz w:val="28"/>
          <w:szCs w:val="28"/>
          <w:lang w:eastAsia="en-US"/>
        </w:rPr>
      </w:pPr>
    </w:p>
    <w:p w14:paraId="1B1B0526">
      <w:pPr>
        <w:spacing w:after="200" w:line="276" w:lineRule="auto"/>
        <w:jc w:val="center"/>
        <w:rPr>
          <w:rFonts w:ascii="Calibri" w:hAnsi="Calibri"/>
          <w:sz w:val="28"/>
          <w:szCs w:val="28"/>
          <w:lang w:eastAsia="en-US"/>
        </w:rPr>
      </w:pPr>
    </w:p>
    <w:p w14:paraId="10C50A39">
      <w:pPr>
        <w:spacing w:after="200" w:line="276" w:lineRule="auto"/>
        <w:jc w:val="center"/>
        <w:rPr>
          <w:rFonts w:ascii="Calibri" w:hAnsi="Calibri"/>
          <w:sz w:val="28"/>
          <w:szCs w:val="28"/>
          <w:lang w:eastAsia="en-US"/>
        </w:rPr>
      </w:pPr>
    </w:p>
    <w:p w14:paraId="39C9F96D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</w:p>
    <w:p w14:paraId="58906F29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Контрольная работа</w:t>
      </w:r>
    </w:p>
    <w:p w14:paraId="77D2108C">
      <w:pPr>
        <w:spacing w:after="200" w:line="276" w:lineRule="auto"/>
        <w:jc w:val="center"/>
        <w:rPr>
          <w:lang w:eastAsia="en-US"/>
        </w:rPr>
      </w:pPr>
      <w:r>
        <w:rPr>
          <w:lang w:eastAsia="en-US"/>
        </w:rPr>
        <w:t>По учебной дисциплине</w:t>
      </w:r>
    </w:p>
    <w:p w14:paraId="135F271C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«Педагогика»</w:t>
      </w:r>
    </w:p>
    <w:p w14:paraId="4EDEB131">
      <w:pPr>
        <w:spacing w:after="200" w:line="276" w:lineRule="auto"/>
        <w:jc w:val="center"/>
        <w:rPr>
          <w:lang w:eastAsia="en-US"/>
        </w:rPr>
      </w:pPr>
      <w:r>
        <w:rPr>
          <w:lang w:eastAsia="en-US"/>
        </w:rPr>
        <w:t>на тему:</w:t>
      </w:r>
    </w:p>
    <w:p w14:paraId="53218400">
      <w:pPr>
        <w:spacing w:after="200"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«______»</w:t>
      </w:r>
    </w:p>
    <w:p w14:paraId="01BA0E36">
      <w:pPr>
        <w:spacing w:after="200"/>
        <w:jc w:val="center"/>
        <w:rPr>
          <w:b/>
          <w:lang w:eastAsia="en-US"/>
        </w:rPr>
      </w:pPr>
      <w:r>
        <w:rPr>
          <w:b/>
          <w:lang w:eastAsia="en-US"/>
        </w:rPr>
        <w:t xml:space="preserve">                  </w:t>
      </w:r>
    </w:p>
    <w:p w14:paraId="0BFF9BC5">
      <w:pPr>
        <w:spacing w:after="200"/>
        <w:jc w:val="center"/>
        <w:rPr>
          <w:b/>
          <w:lang w:eastAsia="en-US"/>
        </w:rPr>
      </w:pPr>
    </w:p>
    <w:p w14:paraId="1850A032">
      <w:pPr>
        <w:spacing w:after="200"/>
        <w:jc w:val="center"/>
        <w:rPr>
          <w:b/>
          <w:lang w:eastAsia="en-US"/>
        </w:rPr>
      </w:pPr>
      <w:r>
        <w:rPr>
          <w:b/>
          <w:lang w:eastAsia="en-US"/>
        </w:rPr>
        <w:t xml:space="preserve">                                                                                                           </w:t>
      </w:r>
      <w:r>
        <w:rPr>
          <w:lang w:eastAsia="en-US"/>
        </w:rPr>
        <w:t xml:space="preserve">        </w:t>
      </w:r>
    </w:p>
    <w:tbl>
      <w:tblPr>
        <w:tblStyle w:val="3"/>
        <w:tblW w:w="5020" w:type="dxa"/>
        <w:tblInd w:w="4359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20"/>
      </w:tblGrid>
      <w:tr w14:paraId="47D277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20" w:type="dxa"/>
          </w:tcPr>
          <w:p w14:paraId="1BA2D885">
            <w:pPr>
              <w:rPr>
                <w:lang w:eastAsia="en-US"/>
              </w:rPr>
            </w:pPr>
            <w:r>
              <w:rPr>
                <w:b/>
                <w:lang w:eastAsia="en-US"/>
              </w:rPr>
              <w:t>Выполнила:</w:t>
            </w:r>
            <w:r>
              <w:rPr>
                <w:lang w:eastAsia="en-US"/>
              </w:rPr>
              <w:t xml:space="preserve"> ФИО</w:t>
            </w:r>
          </w:p>
          <w:p w14:paraId="4AB9C9A6">
            <w:pPr>
              <w:ind w:firstLine="1451"/>
              <w:rPr>
                <w:lang w:eastAsia="en-US"/>
              </w:rPr>
            </w:pPr>
            <w:r>
              <w:rPr>
                <w:lang w:eastAsia="en-US"/>
              </w:rPr>
              <w:t>Курсы: М.В</w:t>
            </w:r>
          </w:p>
          <w:p w14:paraId="5CA2B2DC">
            <w:pPr>
              <w:ind w:firstLine="1451"/>
              <w:rPr>
                <w:lang w:eastAsia="en-US"/>
              </w:rPr>
            </w:pPr>
            <w:r>
              <w:rPr>
                <w:lang w:eastAsia="en-US"/>
              </w:rPr>
              <w:t>Группа 151-15</w:t>
            </w:r>
          </w:p>
          <w:p w14:paraId="2171CE1E">
            <w:pPr>
              <w:ind w:firstLine="1451"/>
              <w:rPr>
                <w:lang w:eastAsia="en-US"/>
              </w:rPr>
            </w:pPr>
            <w:r>
              <w:rPr>
                <w:lang w:eastAsia="en-US"/>
              </w:rPr>
              <w:t>По специальности 050144</w:t>
            </w:r>
          </w:p>
          <w:p w14:paraId="197E6894">
            <w:pPr>
              <w:ind w:firstLine="1451"/>
              <w:rPr>
                <w:lang w:eastAsia="en-US"/>
              </w:rPr>
            </w:pPr>
            <w:r>
              <w:rPr>
                <w:lang w:eastAsia="en-US"/>
              </w:rPr>
              <w:t>Дошкольное образование</w:t>
            </w:r>
          </w:p>
          <w:p w14:paraId="10EA97C0">
            <w:pPr>
              <w:tabs>
                <w:tab w:val="left" w:pos="1451"/>
              </w:tabs>
              <w:rPr>
                <w:lang w:eastAsia="en-US"/>
              </w:rPr>
            </w:pPr>
            <w:r>
              <w:rPr>
                <w:b/>
                <w:lang w:eastAsia="en-US"/>
              </w:rPr>
              <w:t>Проверил:</w:t>
            </w:r>
            <w:r>
              <w:rPr>
                <w:lang w:eastAsia="en-US"/>
              </w:rPr>
              <w:t xml:space="preserve"> Елизарова Л.А.</w:t>
            </w:r>
          </w:p>
          <w:p w14:paraId="6DA83638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Преподаватель спецдисциплин</w:t>
            </w:r>
          </w:p>
          <w:p w14:paraId="02EE0B0C">
            <w:pPr>
              <w:spacing w:after="200"/>
              <w:rPr>
                <w:b/>
                <w:lang w:eastAsia="en-US"/>
              </w:rPr>
            </w:pPr>
          </w:p>
        </w:tc>
      </w:tr>
    </w:tbl>
    <w:p w14:paraId="4DFB29DF">
      <w:pPr>
        <w:spacing w:after="200"/>
        <w:jc w:val="right"/>
        <w:rPr>
          <w:lang w:eastAsia="en-US"/>
        </w:rPr>
      </w:pPr>
    </w:p>
    <w:p w14:paraId="1F2037AF">
      <w:pPr>
        <w:spacing w:after="200"/>
        <w:jc w:val="right"/>
        <w:rPr>
          <w:lang w:eastAsia="en-US"/>
        </w:rPr>
      </w:pPr>
    </w:p>
    <w:p w14:paraId="5C7BEC87">
      <w:pPr>
        <w:spacing w:after="200"/>
        <w:jc w:val="right"/>
        <w:rPr>
          <w:lang w:eastAsia="en-US"/>
        </w:rPr>
      </w:pPr>
    </w:p>
    <w:p w14:paraId="17C3909E">
      <w:pPr>
        <w:spacing w:after="200"/>
        <w:jc w:val="right"/>
        <w:rPr>
          <w:lang w:eastAsia="en-US"/>
        </w:rPr>
      </w:pPr>
    </w:p>
    <w:p w14:paraId="75A4DADC">
      <w:pPr>
        <w:spacing w:after="200"/>
        <w:rPr>
          <w:lang w:eastAsia="en-US"/>
        </w:rPr>
      </w:pPr>
    </w:p>
    <w:p w14:paraId="08EFDDFD">
      <w:pPr>
        <w:spacing w:after="200"/>
        <w:rPr>
          <w:lang w:eastAsia="en-US"/>
        </w:rPr>
      </w:pPr>
    </w:p>
    <w:p w14:paraId="50FB522E">
      <w:pPr>
        <w:spacing w:after="200"/>
        <w:rPr>
          <w:lang w:eastAsia="en-US"/>
        </w:rPr>
      </w:pPr>
    </w:p>
    <w:p w14:paraId="21CAF0EF">
      <w:pPr>
        <w:spacing w:after="200"/>
        <w:jc w:val="center"/>
        <w:rPr>
          <w:lang w:eastAsia="en-US"/>
        </w:rPr>
      </w:pPr>
      <w:r>
        <w:rPr>
          <w:lang w:eastAsia="en-US"/>
        </w:rPr>
        <w:t xml:space="preserve">г. </w:t>
      </w:r>
      <w:r>
        <w:rPr>
          <w:lang w:val="ru-RU" w:eastAsia="en-US"/>
        </w:rPr>
        <w:t>Урай</w:t>
      </w:r>
      <w:r>
        <w:rPr>
          <w:rFonts w:hint="default"/>
          <w:lang w:val="ru-RU" w:eastAsia="en-US"/>
        </w:rPr>
        <w:t xml:space="preserve"> </w:t>
      </w:r>
      <w:r>
        <w:rPr>
          <w:lang w:eastAsia="en-US"/>
        </w:rPr>
        <w:t>20</w:t>
      </w:r>
      <w:r>
        <w:rPr>
          <w:rFonts w:hint="default"/>
          <w:lang w:val="ru-RU" w:eastAsia="en-US"/>
        </w:rPr>
        <w:t>26</w:t>
      </w:r>
      <w:r>
        <w:rPr>
          <w:lang w:eastAsia="en-US"/>
        </w:rPr>
        <w:t xml:space="preserve"> г.</w:t>
      </w:r>
    </w:p>
    <w:p w14:paraId="48F92909"/>
    <w:p w14:paraId="16F9F0AD"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F50B69"/>
    <w:multiLevelType w:val="multilevel"/>
    <w:tmpl w:val="0AF50B69"/>
    <w:lvl w:ilvl="0" w:tentative="0">
      <w:start w:val="1"/>
      <w:numFmt w:val="bullet"/>
      <w:lvlText w:val=""/>
      <w:lvlJc w:val="left"/>
      <w:pPr>
        <w:tabs>
          <w:tab w:val="left" w:pos="1287"/>
        </w:tabs>
        <w:ind w:left="1287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724"/>
        </w:tabs>
        <w:ind w:left="1724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444"/>
        </w:tabs>
        <w:ind w:left="2444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3164"/>
        </w:tabs>
        <w:ind w:left="3164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884"/>
        </w:tabs>
        <w:ind w:left="3884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604"/>
        </w:tabs>
        <w:ind w:left="4604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324"/>
        </w:tabs>
        <w:ind w:left="5324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6044"/>
        </w:tabs>
        <w:ind w:left="6044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764"/>
        </w:tabs>
        <w:ind w:left="6764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F71"/>
    <w:rsid w:val="00165DDF"/>
    <w:rsid w:val="003749D6"/>
    <w:rsid w:val="006A3601"/>
    <w:rsid w:val="00977F71"/>
    <w:rsid w:val="009E25A1"/>
    <w:rsid w:val="00A12247"/>
    <w:rsid w:val="00A43403"/>
    <w:rsid w:val="00E826ED"/>
    <w:rsid w:val="7D45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5"/>
    <w:semiHidden/>
    <w:unhideWhenUsed/>
    <w:uiPriority w:val="99"/>
    <w:rPr>
      <w:rFonts w:ascii="Tahoma" w:hAnsi="Tahoma" w:cs="Tahoma"/>
      <w:sz w:val="16"/>
      <w:szCs w:val="16"/>
    </w:rPr>
  </w:style>
  <w:style w:type="character" w:customStyle="1" w:styleId="5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921</Words>
  <Characters>5250</Characters>
  <Lines>43</Lines>
  <Paragraphs>12</Paragraphs>
  <TotalTime>10</TotalTime>
  <ScaleCrop>false</ScaleCrop>
  <LinksUpToDate>false</LinksUpToDate>
  <CharactersWithSpaces>6159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2014-02-12T08:42:00Z</dcterms:created>
  <dc:creator>user</dc:creator>
  <cp:lastModifiedBy>Антонина</cp:lastModifiedBy>
  <cp:lastPrinted>2014-02-14T12:06:00Z</cp:lastPrinted>
  <dcterms:modified xsi:type="dcterms:W3CDTF">2026-01-18T15:24:39Z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1B92BDDEE1454B559ED90277155ADCE2_12</vt:lpwstr>
  </property>
</Properties>
</file>