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480"/>
        <w:ind w:right="0" w:firstLine="0" w:left="0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Сценарий театрализованной игровой программы для начальных классов «Ключ к победе»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Цель: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Сформировать у младших школьников понимание, что настоящая победа достигается через преодоление трудностей, работу в команде и веру в себя.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Задачи: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Образовательные: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Показать на примере сюжета, что препятствия (лень, страх, разобщённость) – это часть пути, а не повод сдаваться.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Развивающие: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Развивать навыки сотрудничества, коммуникации и взаимопомощи. Стимулировать творческое мышление и эмоциональный интеллект.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Воспитательные: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Воспитывать целеустремлённость, настойчивость, умение поддерживать товарищей и работать в команде.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Действующие лица: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Ведущий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(может быть учителем или старшеклассником)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Команда «Молния»: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Саша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– энергичный, но иногда ленивый.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Маша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– добрая, но часто сомневается в себе.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Петя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– умный, но любит делать всё сам, не доверяет другим.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Голос</w:t>
      </w:r>
      <w:r/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 Старенький Мудрый Дуб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(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закадровый голос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Голос Леса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( может исходить от Дуба)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12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Трудности</w:t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(3 человека в чёрных костюмах, могут быть с масками):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Усталость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Неуверенность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Разобщённость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  <w:t xml:space="preserve">Реквизит и декорации: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Декорации леса: деревья, грибы, можно нарисовать на ватмане.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Карта-свиток с маршрутом.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«Волшебный» ключ (большой, картонный).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718"/>
        <w:numPr>
          <w:ilvl w:val="0"/>
          <w:numId w:val="2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Сундук (можно из картонной коробки), внутри – грамоты или медали для всей команды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0f1115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88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Ход мероприятия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r>
    </w:p>
    <w:tbl>
      <w:tblPr>
        <w:tblStyle w:val="734"/>
        <w:tblW w:w="0" w:type="auto"/>
        <w:tblBorders/>
        <w:tblLayout w:type="fixed"/>
        <w:tblLook w:val="04A0" w:firstRow="1" w:lastRow="0" w:firstColumn="1" w:lastColumn="0" w:noHBand="0" w:noVBand="1"/>
      </w:tblPr>
      <w:tblGrid>
        <w:gridCol w:w="1184"/>
        <w:gridCol w:w="5344"/>
        <w:gridCol w:w="1994"/>
      </w:tblGrid>
      <w:tr>
        <w:trPr/>
        <w:tc>
          <w:tcPr>
            <w:tcBorders/>
            <w:tcW w:w="118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889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Время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889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Действие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199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889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Примечание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/>
        <w:tc>
          <w:tcPr>
            <w:tcBorders/>
            <w:tcW w:w="118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(Сцена – импровизированный лес. В центре – Старенький Мудрый Дуб. Звучит весёлая, приподнятая музыка. На сцену выбегает команда «Молния».)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Ведущий: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В одном волшебном лесу жила-была дружная команда «Молния». Ребята мечтали найти сокровище Победы, которое, по легенде, спрятал сам Лесной Волшебник. Но путь к нему был нелёгким. И вот однажды они нашли старую карту...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Смотрите, карта! Здесь написано: «Ключ к Победе спрятан на вершине Холма Знаний!»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Маша: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Как здорово! Мы обязательно его найдём! Хотя... холм такой высокий... (немного грустнеет).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Петя: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Пустяки! Я один всё быстро сделаю. Пойду вперёд, разведаю дорогу.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А я пока отдохну немного, силы сберегу. (Садится на пенёк)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(Петя уходит в одну сторону, Саша остаётся, Маша в нерешительности стоит на месте. Музыка становится тревожной. На сцену выходят Трудности.)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Усталость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(подходит к Саше): Отдохни, Саша, не спеши. Зачем тебе этот трудный путь? Лучше посиди, помечтай о победе.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Саша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(зевает): Да... ты прав. Мечтать гораздо легче, чем идти.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Неуверенность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(подходит к Маше): Маша, ты же маленькая и слабая. У тебя ничего не получится. Лучше вернись домой, чтобы не подводить команду.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Маша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(опускает голову): Наверное, ты права... я, наверное, только помешаю.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Разобщённость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(бегает между ними): Какая команда? Каждый сам за себя! Петя уже ушёл вперёд, ему вы не нужны!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(Трудности торжествующе потирают руки.)</w:t>
            </w:r>
            <w:r>
              <w:rPr>
                <w:rFonts w:ascii="Times New Roman" w:hAnsi="Times New Roman" w:eastAsia="Times New Roman" w:cs="Times New Roman"/>
                <w:sz w:val="22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Ведущий: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Ой-ой-ой! Кажется, Трудности захватили в плен наших героев! Но, может быть, мы, зрители, можем им помочь? Давайте прогоним этих Трудности, пройдя их же испытания! Ребята, вы готовы помочь команде «Молния»?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(Дети хором отвечают «Да!»)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/>
            <w:tcW w:w="199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>
          <w:trHeight w:val="3867"/>
        </w:trPr>
        <w:tc>
          <w:tcPr>
            <w:tcBorders/>
            <w:tcW w:w="118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480"/>
              <w:ind w:right="0" w:firstLine="0" w:left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ИГРА: Против 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усталости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 – «Энергетический ручеёк»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Правила игры: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Усталость выкатывает несколько воздушных шаров. Задача зрителей и команды «Молния»: не дать ни одному шарику упасть на пол, подбрасывая их в воздух. Как только шарик падает – Усталость зевает, и все делают вид, что засыпают, но затем снова встают и продол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жают.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/>
            <w:tcW w:w="199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/>
        <w:tc>
          <w:tcPr>
            <w:tcBorders/>
            <w:tcW w:w="118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Команда расходится в разные стороны, выглядит подавленной. Ведущий подходит к Старенькому Мудрому Дубу.)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Ведущий: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Ой, что же случилось с нашей командой? Всего несколько минут назад они были вместе и победили усталось, а теперь... Кажется, им нужна помощь.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Старенький мудрый дуб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</w:rPr>
              <w:t xml:space="preserve">(шелестит листьями, голос за кадром)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: Я видел много таких команд. Их остановили не высокие горы, а их собственные трудности. Но я знаю секрет. Эй, ребята, подойдите ко мне!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(Ребята 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команды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</w:rPr>
              <w:t xml:space="preserve">«Молния»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 нехотя  подходят к Дубу.)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Старенький мудрый 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дуб (</w:t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</w:rPr>
              <w:t xml:space="preserve">голос за кадром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):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Я видел, как на вас напали Трудности. Они сильны, только когда вы действуете в одиночку. Но у вас есть сила, которая сильнее любой трудности.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Какая сила?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Дуб: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Сила вашей команды! Вместе вы – настоящая молния, которая может пройти любые преграды!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Маша: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Но как?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Дуб: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Очень просто! Саша, поделись своей энергией с Машей, чтобы она поверила в себя. Маша, поддержи Сашу добрым словом, чтобы он не ленился. А Петя... где Петя?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(В этот момент возвращается Петя, выглядит уставшим и растерянным.)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Петя: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Я заблудился... Одному идти было так сложно. Я понял, что без вас мне не справиться.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Дуб: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Вот и хорошо, что понял! А ты, Петя, доверься друзьям, слушай их советы. Помните: один за всех и все за одного!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white"/>
              </w:rPr>
              <w:t xml:space="preserve">Неуверенность: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white"/>
              </w:rPr>
              <w:t xml:space="preserve"> Фью-фью... Подумаешь, 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один за всех и все за одного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white"/>
              </w:rPr>
              <w:t xml:space="preserve">. А вот пройти мой лабиринт с закрытыми глазами вы не сможете! Вы заблудитесь и испугаетесь!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/>
            <w:tcW w:w="199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/>
        <w:tc>
          <w:tcPr>
            <w:tcBorders/>
            <w:tcW w:w="118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vMerge w:val="restart"/>
            <w:textDirection w:val="lrTb"/>
            <w:noWrap w:val="false"/>
          </w:tcPr>
          <w:p>
            <w:pPr>
              <w:suppressLineNumbers w:val="fals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480" w:line="283" w:lineRule="atLeast"/>
              <w:ind w:right="0" w:firstLine="0" w:left="0"/>
              <w:contextualSpacing w:val="false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ИГРА: Против неуверенности – «Волшебный лабиринт»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Cs w:val="28"/>
              </w:rPr>
            </w:r>
          </w:p>
          <w:p>
            <w:pPr>
              <w:suppressLineNumbers w:val="fals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 w:line="283" w:lineRule="atLeast"/>
              <w:ind w:right="0" w:firstLine="0" w:left="0"/>
              <w:contextualSpacing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Правила игры: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На полу раскладываются 3 обруча – это «островки безопа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сности». Выбираются 3 добровольца из зрителей. Им завязывают глаза. Они должны дойти от старта до финиша, слушая только подсказки команды «Молния» и всего класса. Команда хором говорит: «Иди прямо!», «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Осторожно, шаг влево!», «Стой, перед тобой пропасть!», «Теперь прыгай в обруч!».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/>
            <w:tcW w:w="199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/>
        <w:tc>
          <w:tcPr>
            <w:tcBorders/>
            <w:tcW w:w="118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white"/>
              </w:rPr>
              <w:t xml:space="preserve">Ведущий: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white"/>
              </w:rPr>
              <w:t xml:space="preserve"> Вот это да! Мы победили Неуверенность, потому что помогали друг другу!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(Ребята переглядываются, улыбаются и берутся за руки.)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Саша: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Маша, не бойся! Мы с тобой! Ты у нас самая добрая и находчивая!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Маша: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Спасибо, Саша! А ты – самый сильный, давай, мы все вместе поможем тебе донести эту силу до конца!</w:t>
              <w:br/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Петя: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Давайте идти вместе. Я буду слушать ваши идеи.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(В этот момент Трудности с ропотом отступают и убегают со сцены. Музыка становится решительной и бодрой.)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Ведущий: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И команда «Молния», взявшись за руки, отправилась в путь. Они поддерживали друг друга, когда кто-то уставал, подбадривали, если кто-то сомневался, и вместе искали дорогу.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(Команда делает вид, что идёт по лесу, преодолевает «бурелом» (перешагивают через палку), поднимается по «крутому склону» (идут на месте, высоко поднимая колени). Они помогают друг другу.)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Ведущий: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И наконец, они взошли на вершину Холма Знаний! И что же они увидели?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(На сцене стоит сундук. Ребята подходят к нему и открывают. Внутри лежит большой ключ и сверкающие грамоты. Команда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</w:rPr>
              <w:t xml:space="preserve">«Молния» достает ключ.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white"/>
              </w:rPr>
              <w:t xml:space="preserve">Разобщённость: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white"/>
              </w:rPr>
              <w:t xml:space="preserve"> Ну и что! Вы всё равно не справитесь с моим испытанием! Вы не сможете действовать вместе! Ваша задача – донести этот ключ и положить, но... вы должны держаться все вместе!</w:t>
            </w:r>
            <w:r>
              <w:rPr>
                <w:rFonts w:ascii="Times New Roman" w:hAnsi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f1115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99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/>
        <w:tc>
          <w:tcPr>
            <w:tcBorders/>
            <w:tcW w:w="118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480"/>
              <w:ind w:right="0" w:firstLine="0" w:left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ИГРА: Против разобщённости – «Связанные одной верёвкой»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b/>
                <w:color w:val="0f1115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white"/>
              </w:rPr>
              <w:t xml:space="preserve">Правила игры: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white"/>
              </w:rPr>
              <w:t xml:space="preserve"> Ведущий связывает Сашу, Машу и Петю за руки (можно использовать длинный шарф или ленту, чтобы не сковывать сильно движения). Рядом ставится сундук, а в 3-4 шагах от него кладётся Ключ. Задача команды – не разрывая «связующую нить», вместе подойти, поднять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  <w:highlight w:val="white"/>
              </w:rPr>
              <w:t xml:space="preserve"> ключ и положить его в сундук.</w:t>
            </w: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f1115"/>
                <w:sz w:val="28"/>
                <w:szCs w:val="28"/>
                <w:highlight w:val="none"/>
              </w:rPr>
            </w:r>
          </w:p>
        </w:tc>
        <w:tc>
          <w:tcPr>
            <w:tcBorders/>
            <w:tcW w:w="199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  <w:tr>
        <w:trPr/>
        <w:tc>
          <w:tcPr>
            <w:tcBorders/>
            <w:tcW w:w="118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  <w:tc>
          <w:tcPr>
            <w:tcBorders/>
            <w:tcW w:w="5344" w:type="dxa"/>
            <w:vMerge w:val="restart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Голос Леса (закадровый):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 Поздравляю вас, команда «Молния»! Вы прошли самый трудный путь – путь через собственные слабости. Вы победили лень, неуверенность и разобщённость. Этот ключ – не просто железка. Это Ключ Дружбы, Терпения и Взаимовыручки. А главная Победа – это не сундук с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 сокровищами, а то, что вы стали настоящей командой! Ваша дружба – и есть самое ценное сокровище!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(Ребята радостно берут ключ и грамоты, поднимают их над головой. Звучит торжественная, победная музыка.)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 w:after="240" w:before="240"/>
              <w:ind w:right="0" w:firstLine="0" w:left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color w:val="0f1115"/>
                <w:sz w:val="28"/>
                <w:szCs w:val="28"/>
              </w:rPr>
              <w:t xml:space="preserve">Все артисты (вместе, выходя на поклон):</w:t>
              <w:br/>
              <w:t xml:space="preserve">Саша: 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Путь к победе не бывает простым,</w:t>
              <w:br/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</w:rPr>
              <w:t xml:space="preserve">Маша: 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Но вместе мы всё преодолеем,</w:t>
              <w:br/>
            </w:r>
            <w:r>
              <w:rPr>
                <w:rFonts w:ascii="Times New Roman" w:hAnsi="Times New Roman" w:eastAsia="Times New Roman" w:cs="Times New Roman"/>
                <w:b/>
                <w:bCs/>
                <w:color w:val="0f1115"/>
                <w:sz w:val="28"/>
                <w:szCs w:val="28"/>
              </w:rPr>
              <w:t xml:space="preserve">Петя:</w:t>
            </w:r>
            <w:r>
              <w:rPr>
                <w:rFonts w:ascii="Times New Roman" w:hAnsi="Times New Roman" w:eastAsia="Times New Roman" w:cs="Times New Roman"/>
                <w:color w:val="0f1115"/>
                <w:sz w:val="28"/>
                <w:szCs w:val="28"/>
              </w:rPr>
              <w:t xml:space="preserve"> И настоящими друзьями станем!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Borders/>
            <w:tcW w:w="1994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/>
        <w:ind w:right="480" w:firstLine="0" w:left="0"/>
        <w:rPr/>
      </w:pPr>
      <w:r>
        <w:rPr>
          <w:rFonts w:ascii="Liberation Sans" w:hAnsi="Liberation Sans" w:eastAsia="Liberation Sans" w:cs="Liberation Sans"/>
          <w:sz w:val="21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br/>
      </w:r>
      <w:r>
        <w:rPr>
          <w:rFonts w:ascii="Times New Roman" w:hAnsi="Times New Roman" w:eastAsia="Times New Roman" w:cs="Times New Roman"/>
          <w:color w:val="0f1115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240" w:before="240"/>
        <w:ind w:right="0" w:firstLine="0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f1115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h="16838" w:orient="landscape" w:w="11906"/>
      <w:pgMar w:top="731" w:right="1800" w:bottom="1440" w:left="1800" w:header="720" w:footer="72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永中宋体">
    <w:panose1 w:val="020B0604030504040204"/>
  </w:font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Liberation Sans">
    <w:panose1 w:val="020B0604020202020204"/>
  </w:font>
  <w:font w:name="Calibri">
    <w:panose1 w:val="020F0502020204030204"/>
  </w:font>
  <w:font w:name="Noto Sans CJK SC Regular">
    <w:panose1 w:val="020B0500000000000000"/>
  </w:font>
  <w:font w:name="Arial">
    <w:panose1 w:val="020B0604020202020204"/>
  </w:font>
  <w:font w:name="宋体">
    <w:panose1 w:val="02000506000000020000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2040"/>
        </w:tabs>
        <w:spacing/>
        <w:ind w:hanging="360" w:left="204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620"/>
        </w:tabs>
        <w:spacing/>
        <w:ind w:hanging="360" w:left="162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1200"/>
        </w:tabs>
        <w:spacing/>
        <w:ind w:hanging="360" w:left="120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80"/>
        </w:tabs>
        <w:spacing/>
        <w:ind w:hanging="360" w:left="7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●"/>
      <w:numFmt w:val="bullet"/>
      <w:pPr>
        <w:pBdr/>
        <w:tabs>
          <w:tab w:val="num" w:leader="none" w:pos="2040"/>
        </w:tabs>
        <w:spacing/>
        <w:ind w:hanging="360" w:left="2040"/>
      </w:pPr>
      <w:rPr>
        <w:rFonts w:ascii="永中宋体" w:hAnsi="永中宋体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lvl w:ilvl="0">
      <w:isLgl w:val="false"/>
      <w:lvlJc w:val="left"/>
      <w:lvlText w:val="●"/>
      <w:numFmt w:val="bullet"/>
      <w:pPr>
        <w:pBdr/>
        <w:tabs>
          <w:tab w:val="num" w:leader="none" w:pos="1620"/>
        </w:tabs>
        <w:spacing/>
        <w:ind w:hanging="360" w:left="1620"/>
      </w:pPr>
      <w:rPr>
        <w:rFonts w:ascii="永中宋体" w:hAnsi="永中宋体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●"/>
      <w:numFmt w:val="bullet"/>
      <w:pPr>
        <w:pBdr/>
        <w:tabs>
          <w:tab w:val="num" w:leader="none" w:pos="1200"/>
        </w:tabs>
        <w:spacing/>
        <w:ind w:hanging="360" w:left="1200"/>
      </w:pPr>
      <w:rPr>
        <w:rFonts w:ascii="永中宋体" w:hAnsi="永中宋体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lvl w:ilvl="0">
      <w:isLgl w:val="false"/>
      <w:lvlJc w:val="left"/>
      <w:lvlText w:val="●"/>
      <w:numFmt w:val="bullet"/>
      <w:pPr>
        <w:pBdr/>
        <w:tabs>
          <w:tab w:val="num" w:leader="none" w:pos="780"/>
        </w:tabs>
        <w:spacing/>
        <w:ind w:hanging="360" w:left="780"/>
      </w:pPr>
      <w:rPr>
        <w:rFonts w:ascii="永中宋体" w:hAnsi="永中宋体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●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永中宋体" w:hAnsi="永中宋体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1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1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800080"/>
        <w:sz w:val="21"/>
      </w:rPr>
      <w:start w:val="1"/>
      <w:suff w:val="tab"/>
    </w:lvl>
  </w:abstractNum>
  <w:abstractNum w:abstractNumId="20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Liberation Sans" w:hAnsi="Liberation Sans" w:eastAsia="Liberation Sans" w:cs="Liberation Sans"/>
        <w:color w:val="0f1115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f1115"/>
        <w:sz w:val="24"/>
      </w:rPr>
      <w:start w:val="1"/>
      <w:suff w:val="tab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9"/>
    <w:next w:val="879"/>
    <w:link w:val="70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link w:val="70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02">
    <w:name w:val="Heading 2"/>
    <w:basedOn w:val="879"/>
    <w:next w:val="879"/>
    <w:link w:val="70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link w:val="702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04">
    <w:name w:val="Heading 3"/>
    <w:basedOn w:val="879"/>
    <w:next w:val="879"/>
    <w:link w:val="70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link w:val="70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06">
    <w:name w:val="Heading 4"/>
    <w:basedOn w:val="879"/>
    <w:next w:val="879"/>
    <w:link w:val="70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link w:val="70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9"/>
    <w:next w:val="879"/>
    <w:link w:val="70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link w:val="70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9"/>
    <w:next w:val="879"/>
    <w:link w:val="71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link w:val="71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9"/>
    <w:next w:val="879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link w:val="71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9"/>
    <w:next w:val="879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link w:val="71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9"/>
    <w:next w:val="879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link w:val="716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18">
    <w:name w:val="List Paragraph"/>
    <w:basedOn w:val="879"/>
    <w:uiPriority w:val="34"/>
    <w:qFormat/>
    <w:pPr>
      <w:pBdr/>
      <w:spacing/>
      <w:ind w:left="720"/>
      <w:contextualSpacing w:val="true"/>
    </w:pPr>
  </w:style>
  <w:style w:type="paragraph" w:styleId="719">
    <w:name w:val="No Spacing"/>
    <w:uiPriority w:val="1"/>
    <w:qFormat/>
    <w:pPr>
      <w:pBdr/>
      <w:spacing w:after="0" w:before="0" w:line="240" w:lineRule="auto"/>
      <w:ind/>
    </w:pPr>
  </w:style>
  <w:style w:type="paragraph" w:styleId="720">
    <w:name w:val="Title"/>
    <w:basedOn w:val="879"/>
    <w:next w:val="879"/>
    <w:link w:val="72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1">
    <w:name w:val="Title Char"/>
    <w:link w:val="720"/>
    <w:uiPriority w:val="10"/>
    <w:pPr>
      <w:pBdr/>
      <w:spacing/>
      <w:ind/>
    </w:pPr>
    <w:rPr>
      <w:sz w:val="48"/>
      <w:szCs w:val="48"/>
    </w:rPr>
  </w:style>
  <w:style w:type="paragraph" w:styleId="722">
    <w:name w:val="Subtitle"/>
    <w:basedOn w:val="879"/>
    <w:next w:val="879"/>
    <w:link w:val="723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3">
    <w:name w:val="Subtitle Char"/>
    <w:link w:val="722"/>
    <w:uiPriority w:val="11"/>
    <w:pPr>
      <w:pBdr/>
      <w:spacing/>
      <w:ind/>
    </w:pPr>
    <w:rPr>
      <w:sz w:val="24"/>
      <w:szCs w:val="24"/>
    </w:rPr>
  </w:style>
  <w:style w:type="paragraph" w:styleId="724">
    <w:name w:val="Quote"/>
    <w:basedOn w:val="879"/>
    <w:next w:val="879"/>
    <w:link w:val="725"/>
    <w:uiPriority w:val="29"/>
    <w:qFormat/>
    <w:pPr>
      <w:pBdr/>
      <w:spacing/>
      <w:ind w:right="720" w:left="720"/>
    </w:pPr>
    <w:rPr>
      <w:i/>
    </w:rPr>
  </w:style>
  <w:style w:type="character" w:styleId="725">
    <w:name w:val="Quote Char"/>
    <w:link w:val="724"/>
    <w:uiPriority w:val="29"/>
    <w:pPr>
      <w:pBdr/>
      <w:spacing/>
      <w:ind/>
    </w:pPr>
    <w:rPr>
      <w:i/>
    </w:rPr>
  </w:style>
  <w:style w:type="paragraph" w:styleId="726">
    <w:name w:val="Intense Quote"/>
    <w:basedOn w:val="879"/>
    <w:next w:val="879"/>
    <w:link w:val="72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27">
    <w:name w:val="Intense Quote Char"/>
    <w:link w:val="726"/>
    <w:uiPriority w:val="30"/>
    <w:pPr>
      <w:pBdr/>
      <w:spacing/>
      <w:ind/>
    </w:pPr>
    <w:rPr>
      <w:i/>
    </w:rPr>
  </w:style>
  <w:style w:type="paragraph" w:styleId="728">
    <w:name w:val="Header"/>
    <w:basedOn w:val="879"/>
    <w:link w:val="72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29">
    <w:name w:val="Header Char"/>
    <w:link w:val="728"/>
    <w:uiPriority w:val="99"/>
    <w:pPr>
      <w:pBdr/>
      <w:spacing/>
      <w:ind/>
    </w:pPr>
  </w:style>
  <w:style w:type="paragraph" w:styleId="730">
    <w:name w:val="Footer"/>
    <w:basedOn w:val="879"/>
    <w:link w:val="73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1">
    <w:name w:val="Footer Char"/>
    <w:link w:val="730"/>
    <w:uiPriority w:val="99"/>
    <w:pPr>
      <w:pBdr/>
      <w:spacing/>
      <w:ind/>
    </w:pPr>
  </w:style>
  <w:style w:type="paragraph" w:styleId="732">
    <w:name w:val="Caption"/>
    <w:basedOn w:val="879"/>
    <w:next w:val="87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730"/>
    <w:uiPriority w:val="99"/>
    <w:pPr>
      <w:pBdr/>
      <w:spacing/>
      <w:ind/>
    </w:pPr>
  </w:style>
  <w:style w:type="table" w:styleId="734">
    <w:name w:val="Table Grid"/>
    <w:basedOn w:val="87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Table Grid Light"/>
    <w:basedOn w:val="8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1"/>
    <w:basedOn w:val="8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2"/>
    <w:basedOn w:val="87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Plain Table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1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2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- Accent 3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4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5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6"/>
    <w:basedOn w:val="8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1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2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 3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4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5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6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1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2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 3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4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5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6"/>
    <w:basedOn w:val="8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1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2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- Accent 3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4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5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6"/>
    <w:basedOn w:val="8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0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61">
    <w:name w:val="footnote text"/>
    <w:basedOn w:val="879"/>
    <w:link w:val="862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2">
    <w:name w:val="Footnote Text Char"/>
    <w:link w:val="861"/>
    <w:uiPriority w:val="99"/>
    <w:pPr>
      <w:pBdr/>
      <w:spacing/>
      <w:ind/>
    </w:pPr>
    <w:rPr>
      <w:sz w:val="18"/>
    </w:rPr>
  </w:style>
  <w:style w:type="character" w:styleId="863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64">
    <w:name w:val="endnote text"/>
    <w:basedOn w:val="879"/>
    <w:link w:val="865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5">
    <w:name w:val="Endnote Text Char"/>
    <w:link w:val="864"/>
    <w:uiPriority w:val="99"/>
    <w:pPr>
      <w:pBdr/>
      <w:spacing/>
      <w:ind/>
    </w:pPr>
    <w:rPr>
      <w:sz w:val="20"/>
    </w:rPr>
  </w:style>
  <w:style w:type="character" w:styleId="866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67">
    <w:name w:val="toc 1"/>
    <w:basedOn w:val="879"/>
    <w:next w:val="879"/>
    <w:uiPriority w:val="39"/>
    <w:unhideWhenUsed/>
    <w:pPr>
      <w:pBdr/>
      <w:spacing w:after="57"/>
      <w:ind w:right="0" w:firstLine="0" w:left="0"/>
    </w:pPr>
  </w:style>
  <w:style w:type="paragraph" w:styleId="868">
    <w:name w:val="toc 2"/>
    <w:basedOn w:val="879"/>
    <w:next w:val="879"/>
    <w:uiPriority w:val="39"/>
    <w:unhideWhenUsed/>
    <w:pPr>
      <w:pBdr/>
      <w:spacing w:after="57"/>
      <w:ind w:right="0" w:firstLine="0" w:left="283"/>
    </w:pPr>
  </w:style>
  <w:style w:type="paragraph" w:styleId="869">
    <w:name w:val="toc 3"/>
    <w:basedOn w:val="879"/>
    <w:next w:val="879"/>
    <w:uiPriority w:val="39"/>
    <w:unhideWhenUsed/>
    <w:pPr>
      <w:pBdr/>
      <w:spacing w:after="57"/>
      <w:ind w:right="0" w:firstLine="0" w:left="567"/>
    </w:pPr>
  </w:style>
  <w:style w:type="paragraph" w:styleId="870">
    <w:name w:val="toc 4"/>
    <w:basedOn w:val="879"/>
    <w:next w:val="879"/>
    <w:uiPriority w:val="39"/>
    <w:unhideWhenUsed/>
    <w:pPr>
      <w:pBdr/>
      <w:spacing w:after="57"/>
      <w:ind w:right="0" w:firstLine="0" w:left="850"/>
    </w:pPr>
  </w:style>
  <w:style w:type="paragraph" w:styleId="871">
    <w:name w:val="toc 5"/>
    <w:basedOn w:val="879"/>
    <w:next w:val="879"/>
    <w:uiPriority w:val="39"/>
    <w:unhideWhenUsed/>
    <w:pPr>
      <w:pBdr/>
      <w:spacing w:after="57"/>
      <w:ind w:right="0" w:firstLine="0" w:left="1134"/>
    </w:pPr>
  </w:style>
  <w:style w:type="paragraph" w:styleId="872">
    <w:name w:val="toc 6"/>
    <w:basedOn w:val="879"/>
    <w:next w:val="879"/>
    <w:uiPriority w:val="39"/>
    <w:unhideWhenUsed/>
    <w:pPr>
      <w:pBdr/>
      <w:spacing w:after="57"/>
      <w:ind w:right="0" w:firstLine="0" w:left="1417"/>
    </w:pPr>
  </w:style>
  <w:style w:type="paragraph" w:styleId="873">
    <w:name w:val="toc 7"/>
    <w:basedOn w:val="879"/>
    <w:next w:val="879"/>
    <w:uiPriority w:val="39"/>
    <w:unhideWhenUsed/>
    <w:pPr>
      <w:pBdr/>
      <w:spacing w:after="57"/>
      <w:ind w:right="0" w:firstLine="0" w:left="1701"/>
    </w:pPr>
  </w:style>
  <w:style w:type="paragraph" w:styleId="874">
    <w:name w:val="toc 8"/>
    <w:basedOn w:val="879"/>
    <w:next w:val="879"/>
    <w:uiPriority w:val="39"/>
    <w:unhideWhenUsed/>
    <w:pPr>
      <w:pBdr/>
      <w:spacing w:after="57"/>
      <w:ind w:right="0" w:firstLine="0" w:left="1984"/>
    </w:pPr>
  </w:style>
  <w:style w:type="paragraph" w:styleId="875">
    <w:name w:val="toc 9"/>
    <w:basedOn w:val="879"/>
    <w:next w:val="879"/>
    <w:uiPriority w:val="39"/>
    <w:unhideWhenUsed/>
    <w:pPr>
      <w:pBdr/>
      <w:spacing w:after="57"/>
      <w:ind w:right="0" w:firstLine="0" w:left="2268"/>
    </w:pPr>
  </w:style>
  <w:style w:type="paragraph" w:styleId="876">
    <w:name w:val="TOC Heading"/>
    <w:uiPriority w:val="39"/>
    <w:unhideWhenUsed/>
    <w:pPr>
      <w:pBdr/>
      <w:spacing/>
      <w:ind/>
    </w:pPr>
  </w:style>
  <w:style w:type="paragraph" w:styleId="877">
    <w:name w:val="table of figures"/>
    <w:basedOn w:val="879"/>
    <w:next w:val="879"/>
    <w:uiPriority w:val="99"/>
    <w:unhideWhenUsed/>
    <w:pPr>
      <w:pBdr/>
      <w:spacing w:after="0" w:afterAutospacing="0"/>
      <w:ind/>
    </w:pPr>
  </w:style>
  <w:style w:type="table" w:styleId="878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9" w:default="1">
    <w:name w:val="Normal"/>
    <w:next w:val="879"/>
    <w:link w:val="879"/>
    <w:pPr>
      <w:widowControl w:val="false"/>
      <w:pBdr/>
      <w:spacing/>
      <w:ind/>
      <w:jc w:val="both"/>
    </w:pPr>
    <w:rPr>
      <w:rFonts w:ascii="Calibri" w:hAnsi="Calibri" w:eastAsia="宋体" w:cs="Times New Roman"/>
      <w:color w:val="000000"/>
      <w:sz w:val="21"/>
      <w:szCs w:val="24"/>
      <w:lang w:val="en-US" w:eastAsia="zh-CN" w:bidi="ar-SA"/>
    </w:rPr>
  </w:style>
  <w:style w:type="character" w:styleId="880">
    <w:name w:val="默认段落字体"/>
    <w:next w:val="880"/>
    <w:link w:val="879"/>
    <w:pPr>
      <w:pBdr/>
      <w:spacing/>
      <w:ind/>
    </w:pPr>
  </w:style>
  <w:style w:type="character" w:styleId="881">
    <w:name w:val="默认段落字体"/>
    <w:next w:val="881"/>
    <w:link w:val="879"/>
    <w:pPr>
      <w:pBdr/>
      <w:spacing/>
      <w:ind/>
    </w:pPr>
  </w:style>
  <w:style w:type="paragraph" w:styleId="882">
    <w:name w:val="Heading"/>
    <w:basedOn w:val="879"/>
    <w:next w:val="883"/>
    <w:link w:val="879"/>
    <w:pPr>
      <w:keepNext w:val="true"/>
      <w:widowControl w:val="false"/>
      <w:pBdr/>
      <w:spacing w:after="120" w:before="240"/>
      <w:ind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styleId="883">
    <w:name w:val="正文文本"/>
    <w:basedOn w:val="879"/>
    <w:next w:val="883"/>
    <w:link w:val="879"/>
    <w:pPr>
      <w:pBdr/>
      <w:spacing w:after="140" w:before="0" w:line="276" w:lineRule="auto"/>
      <w:ind/>
    </w:pPr>
  </w:style>
  <w:style w:type="paragraph" w:styleId="884">
    <w:name w:val="列表"/>
    <w:basedOn w:val="883"/>
    <w:next w:val="884"/>
    <w:link w:val="879"/>
    <w:pPr>
      <w:pBdr/>
      <w:spacing/>
      <w:ind/>
    </w:pPr>
  </w:style>
  <w:style w:type="paragraph" w:styleId="885">
    <w:name w:val="题注"/>
    <w:basedOn w:val="879"/>
    <w:next w:val="885"/>
    <w:link w:val="879"/>
    <w:pPr>
      <w:widowControl w:val="false"/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886">
    <w:name w:val="Index"/>
    <w:basedOn w:val="879"/>
    <w:next w:val="886"/>
    <w:link w:val="879"/>
    <w:pPr>
      <w:widowControl w:val="false"/>
      <w:suppressLineNumbers w:val="true"/>
      <w:pBdr/>
      <w:spacing/>
      <w:ind/>
    </w:pPr>
  </w:style>
  <w:style w:type="character" w:styleId="887" w:default="1">
    <w:name w:val="Default Paragraph Font"/>
    <w:uiPriority w:val="1"/>
    <w:semiHidden/>
    <w:unhideWhenUsed/>
    <w:pPr>
      <w:pBdr/>
      <w:spacing/>
      <w:ind/>
    </w:p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character" w:styleId="889" w:customStyle="1">
    <w:name w:val="Strong"/>
    <w:basedOn w:val="848"/>
    <w:uiPriority w:val="22"/>
    <w:qFormat/>
    <w:pPr>
      <w:pBdr/>
      <w:spacing/>
      <w:ind/>
    </w:pPr>
    <w:rPr>
      <w:b/>
      <w:bCs/>
    </w:rPr>
  </w:style>
  <w:style w:type="paragraph" w:styleId="890" w:customStyle="1">
    <w:name w:val="Основной текст с отступом"/>
    <w:basedOn w:val="722"/>
    <w:next w:val="728"/>
    <w:link w:val="722"/>
    <w:semiHidden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360"/>
      <w:contextualSpacing w:val="false"/>
      <w:jc w:val="left"/>
    </w:pPr>
    <w:rPr>
      <w:rFonts w:ascii="Times New Roman" w:hAnsi="Times New Roman" w:eastAsia="Times New Roman" w:cs="Times New Roman"/>
      <w:b w:val="0"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8</cp:revision>
  <dcterms:created xsi:type="dcterms:W3CDTF">2018-11-26T17:47:00Z</dcterms:created>
  <dcterms:modified xsi:type="dcterms:W3CDTF">2025-10-29T09:29:01Z</dcterms:modified>
</cp:coreProperties>
</file>