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Рекомендации родителям по запуску речи у младших дошкольников.</w:t>
      </w:r>
    </w:p>
    <w:p w:rsidR="00000000" w:rsidDel="00000000" w:rsidP="00000000" w:rsidRDefault="00000000" w:rsidRPr="00000000" w14:paraId="00000002">
      <w:pPr>
        <w:spacing w:after="0" w:line="240" w:lineRule="auto"/>
        <w:jc w:val="right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Стрыгина Елена Николаевна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right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Учитель - логопед</w:t>
      </w:r>
    </w:p>
    <w:p w:rsidR="00000000" w:rsidDel="00000000" w:rsidP="00000000" w:rsidRDefault="00000000" w:rsidRPr="00000000" w14:paraId="00000004">
      <w:pPr>
        <w:spacing w:after="0" w:line="240" w:lineRule="auto"/>
        <w:jc w:val="right"/>
        <w:rPr>
          <w:rFonts w:ascii="Times New Roman" w:cs="Times New Roman" w:eastAsia="Times New Roman" w:hAnsi="Times New Roman"/>
          <w:i w:val="1"/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МБДОУ «Детский сад 105»,</w:t>
      </w:r>
    </w:p>
    <w:p w:rsidR="00000000" w:rsidDel="00000000" w:rsidP="00000000" w:rsidRDefault="00000000" w:rsidRPr="00000000" w14:paraId="00000005">
      <w:pPr>
        <w:spacing w:after="0" w:line="240" w:lineRule="auto"/>
        <w:jc w:val="right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г. Прокопьевск</w:t>
      </w:r>
    </w:p>
    <w:p w:rsidR="00000000" w:rsidDel="00000000" w:rsidP="00000000" w:rsidRDefault="00000000" w:rsidRPr="00000000" w14:paraId="00000006">
      <w:pPr>
        <w:tabs>
          <w:tab w:val="left" w:leader="none" w:pos="1020"/>
        </w:tabs>
        <w:spacing w:after="0" w:line="240" w:lineRule="auto"/>
        <w:jc w:val="both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          В последнее время специалисты и родители все чаще сталкиваются с безречевыми детьми, т.е. с детьми, у которых отсутствует речь. Они имеют комплексное органическое нарушение, что значительно затрудняет логопедическую работу с ними. Кого же можно назвать неговорящим, безречевым ребенком? Тот уровень речи, который есть у этих детей — вокализации, звукоподражания и звукокомплексы, эмоциональные восклицания, даже отдельные нечетко произносимые обиходные слова, — не может служить для полноценного общения. Та «речь», которая есть у ребенка, не выступает «регулятором поведения», поскольку выработка условных связей на слова значительно затруднена. </w:t>
      </w:r>
    </w:p>
    <w:p w:rsidR="00000000" w:rsidDel="00000000" w:rsidP="00000000" w:rsidRDefault="00000000" w:rsidRPr="00000000" w14:paraId="00000007">
      <w:pPr>
        <w:tabs>
          <w:tab w:val="left" w:leader="none" w:pos="1020"/>
        </w:tabs>
        <w:spacing w:after="0" w:line="240" w:lineRule="auto"/>
        <w:jc w:val="both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Группа безречевых детей неоднородна. В нее входят дети с моторной и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сенсорной алалией, различными задержками психоречевого развития, в том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числе недифференцированными, ранним детским аутизмом, интеллектуальной недостаточностью, детским церебральным параличом,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нарушением слуха. Что же является общим для этих детей? Отсутствие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мотивации к общению, неумение ориентироваться в ситуации, разлаженность поведения, негибкость в контактах, повышенная эмоциональная истощаемость — все, что мешает полноценному взаимодействию ребенка с окружающим миром.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В настоящее время материал большинства  пособий для работы с безречевыми детьми не отражает особенностей развития неговорящего ребенка.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В своей работе мы постоянно сталкиваемся с тем, что введенные в заблуждение подобным образом папы и мамы заявляют нам: «Срочно нужен зондовый массаж», «Мы заставляем повторять слова, а он их не повторяет», «Он может говорить, но не хочет, предпочитает общаться с помощью жестов», «Мы постоянно делаем пальчиковую гимнастику, а речь не развивается» и т.д. </w:t>
      </w:r>
    </w:p>
    <w:p w:rsidR="00000000" w:rsidDel="00000000" w:rsidP="00000000" w:rsidRDefault="00000000" w:rsidRPr="00000000" w14:paraId="00000008">
      <w:pPr>
        <w:tabs>
          <w:tab w:val="left" w:leader="none" w:pos="1020"/>
        </w:tabs>
        <w:spacing w:after="0" w:line="240" w:lineRule="auto"/>
        <w:jc w:val="both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Одно из главных условий развития речи – непрерывность. Важно не только регулярно заниматься со специалистом (логопедом/дефектологом), но и каждый день дома находить время для заданий для запуска речи.</w:t>
      </w:r>
    </w:p>
    <w:p w:rsidR="00000000" w:rsidDel="00000000" w:rsidP="00000000" w:rsidRDefault="00000000" w:rsidRPr="00000000" w14:paraId="00000009">
      <w:pPr>
        <w:tabs>
          <w:tab w:val="left" w:leader="none" w:pos="1020"/>
        </w:tabs>
        <w:spacing w:after="0" w:line="240" w:lineRule="auto"/>
        <w:jc w:val="both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Ответственным моментом в работе безречевыми детьми является создание потребности подражать речи взрослого. Нужно создать такие условия, чтобы у ребёнка появилось желание повторять (произносить) одни и те же звукокомплексы неоднократно.</w:t>
      </w:r>
    </w:p>
    <w:p w:rsidR="00000000" w:rsidDel="00000000" w:rsidP="00000000" w:rsidRDefault="00000000" w:rsidRPr="00000000" w14:paraId="0000000A">
      <w:pPr>
        <w:tabs>
          <w:tab w:val="left" w:leader="none" w:pos="1020"/>
        </w:tabs>
        <w:spacing w:after="0" w:line="24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А так как игра – ведущая деятельность у детей, запуск речи возможен только через совместные игры и занятия со взрослым. Поэтому, начинайте с самых простых упражнений, чтобы ребёнок мог легко их освоить и постоянно находился в ситуации успеха.</w:t>
      </w:r>
    </w:p>
    <w:p w:rsidR="00000000" w:rsidDel="00000000" w:rsidP="00000000" w:rsidRDefault="00000000" w:rsidRPr="00000000" w14:paraId="0000000B">
      <w:pPr>
        <w:tabs>
          <w:tab w:val="left" w:leader="none" w:pos="1020"/>
        </w:tabs>
        <w:spacing w:after="0" w:line="240" w:lineRule="auto"/>
        <w:jc w:val="both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Перед вами небольшой обзор игр по запуску речи с помощью которых стимулируем к произнесению простых слов (звукоподражаний).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leader="none" w:pos="1020"/>
        </w:tabs>
        <w:spacing w:after="0" w:before="360" w:line="240" w:lineRule="auto"/>
        <w:ind w:left="720" w:right="0" w:hanging="720"/>
        <w:jc w:val="both"/>
        <w:rPr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"/>
          <w:szCs w:val="29"/>
          <w:u w:val="none"/>
          <w:shd w:fill="auto" w:val="clear"/>
          <w:vertAlign w:val="baseline"/>
          <w:rtl w:val="0"/>
        </w:rPr>
        <w:t xml:space="preserve">Этап  различения неречевых звуков.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leader="none" w:pos="1020"/>
        </w:tabs>
        <w:spacing w:after="0" w:before="0" w:line="240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"/>
          <w:szCs w:val="29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0" distT="0" distL="0" distR="0">
            <wp:extent cx="2276475" cy="1685925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685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1020"/>
        </w:tabs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Музыкальные игрушки, аудиозвуки, звучание предметов.</w:t>
      </w:r>
    </w:p>
    <w:p w:rsidR="00000000" w:rsidDel="00000000" w:rsidP="00000000" w:rsidRDefault="00000000" w:rsidRPr="00000000" w14:paraId="0000000F">
      <w:pPr>
        <w:tabs>
          <w:tab w:val="left" w:leader="none" w:pos="1020"/>
        </w:tabs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Игра «Что звенит?» (из двух предметов).</w:t>
      </w:r>
    </w:p>
    <w:p w:rsidR="00000000" w:rsidDel="00000000" w:rsidP="00000000" w:rsidRDefault="00000000" w:rsidRPr="00000000" w14:paraId="00000010">
      <w:pPr>
        <w:tabs>
          <w:tab w:val="left" w:leader="none" w:pos="1020"/>
        </w:tabs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2.Упражнения  на развитие общей моторики  с предметами под музыку, со стихами.</w:t>
      </w:r>
    </w:p>
    <w:p w:rsidR="00000000" w:rsidDel="00000000" w:rsidP="00000000" w:rsidRDefault="00000000" w:rsidRPr="00000000" w14:paraId="00000011">
      <w:pPr>
        <w:tabs>
          <w:tab w:val="left" w:leader="none" w:pos="1020"/>
        </w:tabs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3.Упражнения на развитие ручной моторики (бусы, счетные палочки и т.д.)</w:t>
      </w:r>
    </w:p>
    <w:p w:rsidR="00000000" w:rsidDel="00000000" w:rsidP="00000000" w:rsidRDefault="00000000" w:rsidRPr="00000000" w14:paraId="00000012">
      <w:pPr>
        <w:tabs>
          <w:tab w:val="left" w:leader="none" w:pos="1020"/>
        </w:tabs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4. Артикуляционые упражнения «Сказка о Веселом язычке».</w:t>
      </w:r>
    </w:p>
    <w:p w:rsidR="00000000" w:rsidDel="00000000" w:rsidP="00000000" w:rsidRDefault="00000000" w:rsidRPr="00000000" w14:paraId="00000013">
      <w:pPr>
        <w:tabs>
          <w:tab w:val="left" w:leader="none" w:pos="1020"/>
        </w:tabs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5.Упражнения  на переключаемость  с  звука на звук. Например: «АУ-УА» и т.д.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567690</wp:posOffset>
            </wp:positionH>
            <wp:positionV relativeFrom="paragraph">
              <wp:posOffset>196215</wp:posOffset>
            </wp:positionV>
            <wp:extent cx="1485900" cy="1666875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56576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6668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2339340</wp:posOffset>
            </wp:positionH>
            <wp:positionV relativeFrom="paragraph">
              <wp:posOffset>243840</wp:posOffset>
            </wp:positionV>
            <wp:extent cx="2200275" cy="1619250"/>
            <wp:effectExtent b="0" l="0" r="0" t="0"/>
            <wp:wrapNone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6192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4">
      <w:pPr>
        <w:tabs>
          <w:tab w:val="left" w:leader="none" w:pos="1020"/>
        </w:tabs>
        <w:spacing w:after="0" w:line="240" w:lineRule="auto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1020"/>
        </w:tabs>
        <w:spacing w:line="240" w:lineRule="auto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1020"/>
        </w:tabs>
        <w:spacing w:line="240" w:lineRule="auto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1020"/>
        </w:tabs>
        <w:spacing w:line="240" w:lineRule="auto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leader="none" w:pos="1020"/>
        </w:tabs>
        <w:spacing w:line="240" w:lineRule="auto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tabs>
          <w:tab w:val="left" w:leader="none" w:pos="1020"/>
        </w:tabs>
        <w:spacing w:lin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6.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Слоги.</w:t>
      </w:r>
    </w:p>
    <w:p w:rsidR="00000000" w:rsidDel="00000000" w:rsidP="00000000" w:rsidRDefault="00000000" w:rsidRPr="00000000" w14:paraId="0000001A">
      <w:pPr>
        <w:tabs>
          <w:tab w:val="left" w:leader="none" w:pos="1020"/>
        </w:tabs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Карточки, звуковые дорожки</w:t>
      </w:r>
    </w:p>
    <w:p w:rsidR="00000000" w:rsidDel="00000000" w:rsidP="00000000" w:rsidRDefault="00000000" w:rsidRPr="00000000" w14:paraId="0000001B">
      <w:pPr>
        <w:tabs>
          <w:tab w:val="left" w:leader="none" w:pos="1020"/>
        </w:tabs>
        <w:spacing w:line="240" w:lineRule="auto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</w:rPr>
        <w:drawing>
          <wp:inline distB="0" distT="0" distL="0" distR="0">
            <wp:extent cx="2105025" cy="2171700"/>
            <wp:effectExtent b="0" l="0" r="0" t="0"/>
            <wp:docPr id="9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2171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</w:rPr>
        <w:drawing>
          <wp:inline distB="0" distT="0" distL="0" distR="0">
            <wp:extent cx="2790825" cy="2095500"/>
            <wp:effectExtent b="0" l="0" r="0" t="0"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095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leader="none" w:pos="1020"/>
        </w:tabs>
        <w:spacing w:line="240" w:lineRule="auto"/>
        <w:jc w:val="both"/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  <w:rtl w:val="0"/>
        </w:rPr>
        <w:t xml:space="preserve">Игры </w:t>
      </w:r>
    </w:p>
    <w:p w:rsidR="00000000" w:rsidDel="00000000" w:rsidP="00000000" w:rsidRDefault="00000000" w:rsidRPr="00000000" w14:paraId="0000001D">
      <w:pPr>
        <w:tabs>
          <w:tab w:val="left" w:leader="none" w:pos="1020"/>
        </w:tabs>
        <w:spacing w:line="240" w:lineRule="auto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  <w:rtl w:val="0"/>
        </w:rPr>
        <w:t xml:space="preserve">«Выжимаем губки»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 Игра проводится с целью формирования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навыка речевого подражания, стимулирования звукоподражания «кап-кап».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Взрослый ставит на стол предварительно приготовленные две емкости, в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одной из которых вода, раскладывает губки разных цветов. Взрослый опускает губку в емкость с водой, затем достает и выжимает в пустую емкость, произнося при этом звукоподражание: «кап-кап». Затем взрослый предлагает выполнить ребенку это же действие по инструкции: «Возьми красную (желтую) губку правой (левой) рукой. Когда ребенок сможет по подражанию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воспроизводить слова определенной слоговой структуры, можно повторить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игру, стимулирую ребенка к произнесению слов: вода, губка, капает, сыро.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hd w:fill="ffffff" w:val="clear"/>
        <w:spacing w:after="0" w:before="360" w:line="24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9"/>
          <w:szCs w:val="29"/>
          <w:rtl w:val="0"/>
        </w:rPr>
        <w:t xml:space="preserve">«Камешки»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hd w:fill="ffffff" w:val="clear"/>
        <w:spacing w:after="0" w:before="360" w:line="24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Ребёнок бросает в воду камешки и произносит слово БУЛЬ.</w:t>
      </w:r>
    </w:p>
    <w:p w:rsidR="00000000" w:rsidDel="00000000" w:rsidP="00000000" w:rsidRDefault="00000000" w:rsidRPr="00000000" w14:paraId="00000020">
      <w:pPr>
        <w:tabs>
          <w:tab w:val="left" w:leader="none" w:pos="1020"/>
        </w:tabs>
        <w:spacing w:line="24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1">
      <w:pPr>
        <w:tabs>
          <w:tab w:val="left" w:leader="none" w:pos="1020"/>
        </w:tabs>
        <w:spacing w:line="24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  <w:rtl w:val="0"/>
        </w:rPr>
        <w:t xml:space="preserve">Игра «Буря в стакане»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 Игра способствует речевой активизации,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стимулирует появлении новых слов и звукоподражаний пена, буль-буль, бахбах, а также используется как упражнение дыхательной гимнастики. Взрослый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подготавливает высокий стакан, наливает воду наполовину, капает немного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жидкости мыльной. Затем берет трубочку (трубочки могут быть различного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диаметра) и дует в нее, при этом произносит «буль-буль», на поверхности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стакана образуется шапка пены. Взрослый экспрессивно восклицает: «Пена!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Много пены!», затем пальцем сбивает мыльные пузыри, экспрессивно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произнося: «бах-бах». Затем взрослый предлагает ребенку попробовать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сделать пену, стимулируя его к произнесению слова пена, звукоподражаний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буль-буль, бах-бах.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leader="none" w:pos="1020"/>
        </w:tabs>
        <w:spacing w:line="24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  <w:rtl w:val="0"/>
        </w:rPr>
        <w:t xml:space="preserve">Игра «Ком»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 Взрослый совместно с ребенком скатывают ком из листов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старой газеты, журнала, произносит слово «ком», затем предлагает ребенку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бросить ком об стену. Действия повторяются несколько раз. Взрослый просит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ребенка: «Брось ком!» Повтори: «ком!» Игра способствует снижению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агрессии.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hd w:fill="ffffff" w:val="clear"/>
        <w:spacing w:after="0" w:before="360" w:line="24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9"/>
          <w:szCs w:val="29"/>
          <w:rtl w:val="0"/>
        </w:rPr>
        <w:t xml:space="preserve">«Семечки арбуза»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hd w:fill="ffffff" w:val="clear"/>
        <w:spacing w:after="0" w:before="360" w:line="240" w:lineRule="auto"/>
        <w:jc w:val="both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На плоскостном образце куска арбуза ребёнок давит мелкие кусочки чёрного пластилина (семечки) поочерёдно: сначала правой рукой, потом левой, далее обеими руками. Стимулировать ребёнка повторению глагола «ДАВИ».</w:t>
      </w:r>
    </w:p>
    <w:p w:rsidR="00000000" w:rsidDel="00000000" w:rsidP="00000000" w:rsidRDefault="00000000" w:rsidRPr="00000000" w14:paraId="00000025">
      <w:pPr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4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  <w:rtl w:val="0"/>
        </w:rPr>
        <w:t xml:space="preserve">Игра «Машинка из одеяла»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 Взрослый расстилает на полу покрывало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либо одеяло, ребенок садится на него и берет в руки предмет, имитирующий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руль, взрослый говорит ребенку, что он едет на машине и нужно сигналить,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произносить: «би-би». Взрослый берет одеяло за два угла и катет ребенка по</w:t>
      </w:r>
      <w:r w:rsidDel="00000000" w:rsidR="00000000" w:rsidRPr="00000000">
        <w:rPr>
          <w:color w:val="000000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комнате, стимулируя его к произнесению звукоподражания «би-би».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hd w:fill="ffffff" w:val="clear"/>
        <w:spacing w:after="0" w:before="360" w:line="240" w:lineRule="auto"/>
        <w:jc w:val="both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9"/>
          <w:szCs w:val="29"/>
          <w:rtl w:val="0"/>
        </w:rPr>
        <w:t xml:space="preserve">«Бубен»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hd w:fill="ffffff" w:val="clear"/>
        <w:spacing w:after="0" w:before="360" w:line="240" w:lineRule="auto"/>
        <w:jc w:val="both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Простукивание на бубне простых слов и имён.</w:t>
      </w:r>
    </w:p>
    <w:p w:rsidR="00000000" w:rsidDel="00000000" w:rsidP="00000000" w:rsidRDefault="00000000" w:rsidRPr="00000000" w14:paraId="00000029">
      <w:pPr>
        <w:shd w:fill="ffffff" w:val="clear"/>
        <w:spacing w:after="0" w:before="360" w:line="240" w:lineRule="auto"/>
        <w:jc w:val="both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А так же, очень хорошо подходят для запуска речи песенные артикуляционные разминки Е. Железновой.</w:t>
      </w:r>
    </w:p>
    <w:p w:rsidR="00000000" w:rsidDel="00000000" w:rsidP="00000000" w:rsidRDefault="00000000" w:rsidRPr="00000000" w14:paraId="0000002A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B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Развитие слоговой структуры слова.</w:t>
      </w:r>
    </w:p>
    <w:p w:rsidR="00000000" w:rsidDel="00000000" w:rsidP="00000000" w:rsidRDefault="00000000" w:rsidRPr="00000000" w14:paraId="0000002C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1.Звуковые дорожки. Например: ГУ-ГУ-ГУ, ДУ-ДУ-ДУ и.т.д.</w:t>
      </w:r>
    </w:p>
    <w:p w:rsidR="00000000" w:rsidDel="00000000" w:rsidP="00000000" w:rsidRDefault="00000000" w:rsidRPr="00000000" w14:paraId="0000002D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262890</wp:posOffset>
            </wp:positionH>
            <wp:positionV relativeFrom="paragraph">
              <wp:posOffset>46355</wp:posOffset>
            </wp:positionV>
            <wp:extent cx="2857500" cy="1571625"/>
            <wp:effectExtent b="0" l="0" r="0" t="0"/>
            <wp:wrapNone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5716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2400300" cy="1619250"/>
            <wp:effectExtent b="0" l="0" r="0" t="0"/>
            <wp:wrapSquare wrapText="bothSides" distB="0" distT="0" distL="114300" distR="11430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6192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E">
      <w:pPr>
        <w:spacing w:line="24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Развитие фразовой речи.  (Фразовый конструктор).</w:t>
      </w:r>
    </w:p>
    <w:p w:rsidR="00000000" w:rsidDel="00000000" w:rsidP="00000000" w:rsidRDefault="00000000" w:rsidRPr="00000000" w14:paraId="0000002F">
      <w:pPr>
        <w:spacing w:line="24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</w:rPr>
        <w:drawing>
          <wp:inline distB="0" distT="0" distL="0" distR="0">
            <wp:extent cx="5845175" cy="1752600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3"/>
                    <a:srcRect b="0" l="1603" r="0" t="3158"/>
                    <a:stretch>
                      <a:fillRect/>
                    </a:stretch>
                  </pic:blipFill>
                  <pic:spPr>
                    <a:xfrm>
                      <a:off x="0" y="0"/>
                      <a:ext cx="5845175" cy="175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4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Предложения.</w:t>
      </w:r>
    </w:p>
    <w:p w:rsidR="00000000" w:rsidDel="00000000" w:rsidP="00000000" w:rsidRDefault="00000000" w:rsidRPr="00000000" w14:paraId="00000031">
      <w:pPr>
        <w:spacing w:line="24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</w:rPr>
        <w:drawing>
          <wp:inline distB="0" distT="0" distL="0" distR="0">
            <wp:extent cx="3392000" cy="2420135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92000" cy="24201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40" w:lineRule="auto"/>
        <w:rPr>
          <w:rFonts w:ascii="Times New Roman" w:cs="Times New Roman" w:eastAsia="Times New Roman" w:hAnsi="Times New Roman"/>
          <w:sz w:val="29"/>
          <w:szCs w:val="29"/>
        </w:rPr>
      </w:pP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Уважаемые родители! Не забывайте, что заниматься с неговорящим ребёнком необходимо как можно раньше. Не упускайте драгоценное время, превращайте в занятия каждую ситуацию общения с малышом. Будьте настойчивы, терпеливы, добры!</w:t>
      </w:r>
    </w:p>
    <w:p w:rsidR="00000000" w:rsidDel="00000000" w:rsidP="00000000" w:rsidRDefault="00000000" w:rsidRPr="00000000" w14:paraId="0000003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0" w:firstLine="0"/>
      </w:pPr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8"/>
        <w:szCs w:val="28"/>
        <w:u w:val="none"/>
        <w:vertAlign w:val="baseline"/>
      </w:rPr>
    </w:lvl>
    <w:lvl w:ilvl="2">
      <w:start w:val="0"/>
      <w:numFmt w:val="decimal"/>
      <w:lvlText w:val=""/>
      <w:lvlJc w:val="left"/>
      <w:pPr>
        <w:ind w:left="0" w:firstLine="0"/>
      </w:pPr>
      <w:rPr/>
    </w:lvl>
    <w:lvl w:ilvl="3">
      <w:start w:val="0"/>
      <w:numFmt w:val="decimal"/>
      <w:lvlText w:val=""/>
      <w:lvlJc w:val="left"/>
      <w:pPr>
        <w:ind w:left="0" w:firstLine="0"/>
      </w:pPr>
      <w:rPr/>
    </w:lvl>
    <w:lvl w:ilvl="4">
      <w:start w:val="0"/>
      <w:numFmt w:val="decimal"/>
      <w:lvlText w:val=""/>
      <w:lvlJc w:val="left"/>
      <w:pPr>
        <w:ind w:left="0" w:firstLine="0"/>
      </w:pPr>
      <w:rPr/>
    </w:lvl>
    <w:lvl w:ilvl="5">
      <w:start w:val="0"/>
      <w:numFmt w:val="decimal"/>
      <w:lvlText w:val=""/>
      <w:lvlJc w:val="left"/>
      <w:pPr>
        <w:ind w:left="0" w:firstLine="0"/>
      </w:pPr>
      <w:rPr/>
    </w:lvl>
    <w:lvl w:ilvl="6">
      <w:start w:val="0"/>
      <w:numFmt w:val="decimal"/>
      <w:lvlText w:val=""/>
      <w:lvlJc w:val="left"/>
      <w:pPr>
        <w:ind w:left="0" w:firstLine="0"/>
      </w:pPr>
      <w:rPr/>
    </w:lvl>
    <w:lvl w:ilvl="7">
      <w:start w:val="0"/>
      <w:numFmt w:val="decimal"/>
      <w:lvlText w:val=""/>
      <w:lvlJc w:val="left"/>
      <w:pPr>
        <w:ind w:left="0" w:firstLine="0"/>
      </w:pPr>
      <w:rPr/>
    </w:lvl>
    <w:lvl w:ilvl="8">
      <w:start w:val="0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4.png"/><Relationship Id="rId10" Type="http://schemas.openxmlformats.org/officeDocument/2006/relationships/image" Target="media/image8.png"/><Relationship Id="rId13" Type="http://schemas.openxmlformats.org/officeDocument/2006/relationships/image" Target="media/image3.png"/><Relationship Id="rId12" Type="http://schemas.openxmlformats.org/officeDocument/2006/relationships/image" Target="media/image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png"/><Relationship Id="rId14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image" Target="media/image1.png"/><Relationship Id="rId8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