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Муниципальное общеобразовательное учреждение</w:t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«Туношёнская средняя школа имени Героя России Селезнёва А.А»</w:t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Ярославского Муниципального района</w:t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В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неклассное мероприятие </w:t>
      </w:r>
    </w:p>
    <w:p>
      <w:pPr>
        <w:pStyle w:val="Normal"/>
        <w:spacing w:lineRule="auto" w:line="360"/>
        <w:ind w:right="-2" w:firstLine="70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Тема: «Александр Селезнёв — герой родного села и всей страны»</w:t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Разработала: Гурова Наталья Валерьевна,</w:t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учитель истории и обществознания</w:t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МОУ Туношёнская СШ ЯМР</w:t>
      </w:r>
    </w:p>
    <w:p>
      <w:pPr>
        <w:pStyle w:val="Normal"/>
        <w:spacing w:lineRule="auto" w:line="360"/>
        <w:ind w:right="-2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с. Туношна, 2025</w:t>
      </w:r>
      <w:r>
        <w:br w:type="page"/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Пояснительная записка</w:t>
        <w:br/>
        <w:t xml:space="preserve">         Воспитание патриотизма сегодня играет важнейшую роль в гражданском и духовном развитии детей и подростков. Президент В.В. Путин в Приказе № 809 от 09.11.2022 г. сформулировал такие традиционные ценности нашей страны, как «патриотизм, гражданственность, служение Отечеству и ответственность за его судьбы, высокие нравственные идеалы..., историческая память и преемственность поколений, единство народов России»</w:t>
      </w:r>
      <w:r>
        <w:rPr>
          <w:rStyle w:val="Style16"/>
          <w:rFonts w:cs="Times New Roman" w:ascii="Times New Roman" w:hAnsi="Times New Roman"/>
          <w:sz w:val="28"/>
          <w:szCs w:val="28"/>
        </w:rPr>
        <w:footnoteReference w:id="2"/>
      </w:r>
      <w:r>
        <w:rPr>
          <w:rFonts w:cs="Times New Roman" w:ascii="Times New Roman" w:hAnsi="Times New Roman"/>
          <w:sz w:val="28"/>
          <w:szCs w:val="28"/>
        </w:rPr>
        <w:t>. Из этого следует, что воспитание патриотизма находится на государственном уровне.</w:t>
        <w:br/>
        <w:t>Воспитание и обучение в школе — это единый процесс, который создается различными методами. Помимо уроков, занятий внеурочной деятельности по учебным предметам, кружков дополнительного образования, в воспитании патриотических чувств обучающихся может помочь школьный музей. В музейных экспонатах школьники смогут найти образ героя, который станет примером доблести и отваги, мужества и чести, примером для подражания.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Ежегодно в Туношенской СШ проводится турнир по футболу между школьных команд, посвященный памяти Александру Селезнёву. В 2025 году 22 апреля данный турнир состоялся и выявил самых спортивных ребят. При награждении обучающихся Туношенской школы были вручены медали, ребята вспомнили подвиг Саши Селезнева и почтили его память.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Мероприятие в музее, нацеленное на сохранение памяти о защитниках Отечества, подвиге народа при защите родины  на тему: «Александр Селезнёв — герой родного села и всей страны» ставит своей целью воспитать чувства патриотизма, любовь к Родине</w:t>
      </w:r>
      <w:bookmarkStart w:id="0" w:name="page16R_mcid111"/>
      <w:bookmarkEnd w:id="0"/>
      <w:r>
        <w:rPr>
          <w:rFonts w:eastAsia="Times New Roman" w:cs="Times New Roman" w:ascii="Times New Roman" w:hAnsi="Times New Roman"/>
          <w:sz w:val="28"/>
          <w:szCs w:val="28"/>
        </w:rPr>
        <w:t xml:space="preserve"> через знакомство с подвигом земляка Александра Селезнёва.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решения данной цели поставлены следующие задачи: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Сформировать интерес обучающихся к изучению локальных конфликтов.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 Сформировать интерес обучающихся к изучению истории </w:t>
      </w:r>
      <w:bookmarkStart w:id="1" w:name="page16R_mcid131"/>
      <w:bookmarkEnd w:id="1"/>
      <w:r>
        <w:rPr>
          <w:rFonts w:cs="Times New Roman" w:ascii="Times New Roman" w:hAnsi="Times New Roman"/>
          <w:sz w:val="28"/>
          <w:szCs w:val="28"/>
        </w:rPr>
        <w:t>района, региона через знакомство с биографией Игоря и Александра.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 Показать, как формировались черты характера Александра.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5.Рассказать о подвиге Александра и его товарищей. </w:t>
      </w:r>
      <w:bookmarkStart w:id="2" w:name="page16R_mcid151"/>
      <w:bookmarkEnd w:id="2"/>
      <w:r>
        <w:rPr>
          <w:rFonts w:cs="Times New Roman" w:ascii="Times New Roman" w:hAnsi="Times New Roman"/>
          <w:sz w:val="28"/>
          <w:szCs w:val="28"/>
        </w:rPr>
        <w:br/>
        <w:t xml:space="preserve">          6. Развить навыки работы с дополнительной литературой и экспонатами музея, умение отбирать, оценивать и преподносить исторический материал.</w:t>
      </w:r>
      <w:bookmarkStart w:id="3" w:name="page16R_mcid171"/>
      <w:bookmarkEnd w:id="3"/>
      <w:r>
        <w:rPr>
          <w:rFonts w:cs="Times New Roman" w:ascii="Times New Roman" w:hAnsi="Times New Roman"/>
          <w:sz w:val="28"/>
          <w:szCs w:val="28"/>
        </w:rPr>
        <w:br/>
        <w:t xml:space="preserve">          7.Сформировать чувство уважения к подвигам солдат.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8. Использовать наглядный материал музея МОУ Туношёнской СШ ЯМР.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Давно известно, что слова учат, а примеры влекут.</w:t>
        <w:br/>
        <w:t>Всматриваясь в других людей, наблюдая и анализируя живые образцы высокой нравственности, патриотизма, трудолюбия, мастерства, верности долгу, молодой человек глубже и нагляднее осмысливает сущность и содержание социально-нравственных отношений.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 xml:space="preserve">Условия эффективности мероприятия состоят в том, что главный герой данного мероприятия Саша Селезнёв, ученик Туношёнской школы, житель села Туношна Ярославского муниципального района Ярославской области. Его родителей в селе знают не только учителя, но и обучающиеся нашей школы. Яркий пример героизма земляка пробудит в ребятах чувства сопереживания и сочувствия.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Непосредственными приемами для создания условий эффективности мероприятия можно выделить следующие: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предварительный осмотр,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прием зрительной реконструкции,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зрительного сравнения,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зрительной аналогии,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переключения внимания.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данном мероприятии задействованы такие формы, как экскурсия, игровые элементы, что стимулирует расширение аудитории музейной и интеграцию музея в местное сообщество.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ge16R_mcid34"/>
      <w:bookmarkEnd w:id="4"/>
      <w:r>
        <w:rPr>
          <w:rFonts w:cs="Times New Roman" w:ascii="Times New Roman" w:hAnsi="Times New Roman"/>
          <w:sz w:val="28"/>
          <w:szCs w:val="28"/>
        </w:rPr>
        <w:t>Место проведения урока: музейное пространство школы</w:t>
      </w:r>
      <w:bookmarkStart w:id="5" w:name="page16R_mcid35"/>
      <w:bookmarkEnd w:id="5"/>
      <w:r>
        <w:rPr>
          <w:rFonts w:cs="Times New Roman" w:ascii="Times New Roman" w:hAnsi="Times New Roman"/>
          <w:sz w:val="28"/>
          <w:szCs w:val="28"/>
        </w:rPr>
        <w:br/>
        <w:t xml:space="preserve">          Время проведения урока: 40 минут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Возрастные группы обучающихся: 5-9 классы.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Методы реализации — интерактивный. В музейной деятельности такая работа предполагает не только одностороннее получение знаний, не монолог экскурсовода и пассивный осмотр экспозиций, но и активное вовлечение обучающихся во взаимодействие с экспонатами, в том числе с привлечением музейных средств и интерактивных форм и методов работы. Ученики школы становятся полноправными участниками процесса восприятия, его опыт служит основным источником познания. В ходе заданий есть цель побудить ребят к самостоятельному поиску как необходимой ему информации, так и ответов на вопросы учителя. В этом случае мы меняем взаимодействие участников – активность экскурсовода или музейного педагога уступает место активности посетителей, что не характерно для традиционных форм ведения экскурсий и программ.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Содержательная часть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Оборудование: экспонаты школьного музея, информационный и иллюстрированный материал, музыкальный инструмент (гитара), кабинет истории с презентацией на экране.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Оформление: плакаты.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Школьники проходят в школьный музей. Учитель Гурова Н.В. играет на гитаре и поет авторскую песню Владимира Чупина про Александра Селезнёва «Косынка». Дети слушают песню.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После окончания песни, учитель начинает мероприятие.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Учитель: 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>стория России – это история воинского подвига. Ни одно другое государство в мире не вынесло столько воин, сколько довелось пережить России. Российским людям свойственна любовь к родному краю, где они родились и выросли, к своей Родине. Эта любовь испокон веков проявляется в их готовности защищать, не жалея жизни, своё Отечество.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1990-е гг. лучились страшные события в Чечне. Две военные кампании: 1994-1996 гг., 1999-2000гг. Кровавая, страшная война, в которой погибли тысячи российских солдат, сотни пропали без вести, десятки тысяч вернулись с ранениями. Ранены были не только тела, но и души.</w:t>
      </w:r>
    </w:p>
    <w:p>
      <w:pPr>
        <w:pStyle w:val="Normal"/>
        <w:shd w:val="clear" w:color="auto" w:fill="FFFFFF"/>
        <w:spacing w:lineRule="auto" w:line="360"/>
        <w:ind w:right="-2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Официально события в Чеченской республике войной не называют, их трактуют как вооруженные события или конфликт. Эти события называют </w:t>
      </w:r>
    </w:p>
    <w:p>
      <w:pPr>
        <w:pStyle w:val="Normal"/>
        <w:shd w:val="clear" w:color="auto" w:fill="FFFFFF"/>
        <w:spacing w:lineRule="auto" w:line="360"/>
        <w:ind w:right="-2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то «восстановление конституционности и правопорядка на территории Чеченской республики», </w:t>
      </w:r>
    </w:p>
    <w:p>
      <w:pPr>
        <w:pStyle w:val="Normal"/>
        <w:shd w:val="clear" w:color="auto" w:fill="FFFFFF"/>
        <w:spacing w:lineRule="auto" w:line="360"/>
        <w:ind w:right="-2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то ликвидация незаконных вооруженных бандформирований», </w:t>
      </w:r>
    </w:p>
    <w:p>
      <w:pPr>
        <w:pStyle w:val="Normal"/>
        <w:shd w:val="clear" w:color="auto" w:fill="FFFFFF"/>
        <w:spacing w:lineRule="auto" w:line="360"/>
        <w:ind w:right="-2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- то «антитеррористическая операция…».  </w:t>
      </w:r>
    </w:p>
    <w:p>
      <w:pPr>
        <w:pStyle w:val="Normal"/>
        <w:shd w:val="clear" w:color="auto" w:fill="FFFFFF"/>
        <w:spacing w:lineRule="auto" w:line="360"/>
        <w:ind w:right="-2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Как бы не назывались в официальных документах и реалиях события, происходящие на этой северокавказской земле, есть одно-единственное точное, короткое и суровое, как выстрел, название им – война!  А </w:t>
      </w:r>
      <w:r>
        <w:rPr>
          <w:rFonts w:cs="Times New Roman" w:ascii="Times New Roman" w:hAnsi="Times New Roman"/>
          <w:sz w:val="28"/>
          <w:szCs w:val="28"/>
        </w:rPr>
        <w:t>за всем этим стоят человеческие судьбы, искалеченные души, раненые тела и тысячи погибших людей. 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этой войны нет подробной истории, она не написана отдельными томами. Но мы должны знать о героях, которые участвовали в этой войне, которые закрывали собой спины своих товарищей.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ребята, у вас в руках находится конверт с закодированным словом. Ваше боевое задание сегодня будет разгадать, какое слово там зашифровано. 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(Учитель выдает конверт старосте). Выполняя задания, в  конце мероприятия, у вас получится ключевое слово. 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наша школа носит имя Героя России Селезнёва Александра Анатольевича. Обратите внимание на экспозицию нашего музея. 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(Учитель указкой показывает на стенд).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Скажите, на фотографиях мы видим Саша Селезнева. Что вы можете сказать уже глядя на фотографии?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Ученики: Саша был пионером, школьников, солдатом, он служил.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Учитель: правильно, как вы думаете, где он исполнял воинской долг, исходя из моего рассказа?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Ученики: в Чечне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Учитель: все верно.  Давайте проследим жизненный путь нашего земляка по музейным экспонатам.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(Учитель показывает фотографии Саши в детстве).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Саша родился 15 июля 1974 года. Весёлый, жизнерадостный. Посмотрите на фото – обычный мальчишка. Рос и воспитывался в большой дружной семье.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1981 г. Саша пошел в первый класс. Он всегда со всеми дружил. В классе он был очень активным, принимал участие во всех мероприятиях, много читал – вот одна из его любимых книг «Пленники Барсова ущелья».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Ребята, скажите, каким спортом увлекался Саша?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Ученики видят теннисную ракетку и говорят: Настольным теннисом.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Правильно! Молодцы! В 6-м классе Саша записался в секцию самбо и в лыжную, мечтал стать военным, как отец. Потом увлекся фотографией. В 8-м стал заниматься моделированием. Если внимательно посмотреть на экспозицию, то что еще можно увидеть?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Ученики: барабанные палочки, лист с аккордами.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Верно, значит, чем он увлекался?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Ученики: музыкой.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вы правы!  Он любил музыку, вместе с ребятами создал свой ансамбль, об этом свидетельствует сохранившийся лист с аккордами.  А также барабанные палочки.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Учился Саша средне, наверное. Давайте заглянем в его дневник.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(Учитель достает школьный дневник и отдает ученикам).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какой вывод можно сделать, листая его дневник?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Ученики: почти все заполнено. Задания записаны и оценок немало. Если Саша получал тройку, то после неё обязательно идут четвёрки и пятёрки. Не хотел огорчать родителей и быть отстающим.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Давайте сейчас откроем ваши дневники, и сравним: все ли у вас там заполнено.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(Учитель вместе с учениками сравнивают их дневники и дневник Саши, делают выводы). За сравнительный анализ ребята получают первую букву «П».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Учитель: А самое главное, что в Александре отмечают все знавшие его, он был надежным, ответственным человеком, умел дружить. Эти качества отметили и его товарищи во время службы в армии. Служил он в Карелии в пограничных войсках. Перед нами журнал «Пограничник», в котором сослуживцы Александра написали ему пожелания. На одной странице читаем: «Я хочу пожелать тебе всего самого наилучшего в жизни. Будь таким же добрым, внимательным, красивым, веселым и счастливым каким ты был среди нас».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Давайте с вами возьмем листы, и попробуем написать письмо солдату, который служит в действующей армии Вооруженных сил РФ.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(Детям раздаются листы, они пишут письма, потом эти письма зачитывают).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это задание ребят получают вторую букву «О».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Армия закрепила все лучшие качества в Александре. И после армии он идет работать в милицию, а потом в ОМОН. Вот пере нами представлена форма бойца ОМОН и копия удостоверения Александра.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Назовите, пожалуйста, 7 качества характера человека, чтобы служить во внутренних органах страны.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(Обучающиеся перечисляют качества). За это они получают следующую букву «Д».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Учитель: верно, молодцы! Основными задачами отряда и тогда и сейчас является обеспечение правопорядка и общественной безопасности. В 1990-е годы обострилась ситуация на Северном Кавказе. В подавлении бандформирований был задействован и ярославский ОМОН. На стенде мы видим </w:t>
      </w:r>
      <w:r>
        <w:rPr>
          <w:rFonts w:cs="Times New Roman" w:ascii="Times New Roman" w:hAnsi="Times New Roman"/>
          <w:sz w:val="28"/>
          <w:szCs w:val="28"/>
          <w:u w:val="single"/>
        </w:rPr>
        <w:t>ф</w:t>
      </w:r>
      <w:r>
        <w:rPr>
          <w:rFonts w:cs="Times New Roman" w:ascii="Times New Roman" w:hAnsi="Times New Roman"/>
          <w:sz w:val="28"/>
          <w:szCs w:val="28"/>
        </w:rPr>
        <w:t>ото Александра перед его последней командировкой в Дагестан в 1999г.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Эта командировка в зону боевых действий в Дагестане стала для наших бойцов серьезным испытанием, из которого не вернулись трое ярославских ребят. В том числе и Александр. Что же произошло?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осени 1999 года банды хорошо вооруженных террористов вторг</w:t>
        <w:softHyphen/>
        <w:t>лись в Дагестан и захватили часть его территории. Перед ярославским ОМОН была поставлена задача взять высоту в районе селения Чабан-махи. Но там оказалась засада.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Над группой, в которой сражался Александр Селезнев, нависла ре</w:t>
        <w:softHyphen/>
        <w:t>альная угроза окружения, а значит — верной гибели. Огнем из пулемета А. А. Селезнев уничтожил главную группу боевиков и, гра</w:t>
        <w:softHyphen/>
        <w:t>мотно расставив бойцов, стал руководить обороной одного из флангов высоты. Сбив наступательный порыв боевиков и вызвав огонь на себя, прапорщик Селезнев тем самым дал возможность бойцам эвакуировать из-под обстрела тела раненых товарищей. Сам при этом был смертельно ранен. За мужество и героизм, проявленные при ликвидации незаконных вооруженных формирований в Северо-Кавказском регионе, Александру было посмертно присвоено звание Героя Российской Федерации. Вот перед нами фото Звезды Героя.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Ребята, назовите, какое значение имели действия Саши Селезнева в данной ситуации?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(Ребята называют значение). За это получают следующую букву «В».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Кто-то уже может догадаться, какое слово у нас получилось?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Ученики: Да, это ПОДВИГ!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Правильно, и сейчас вы услышали рассказ о действиях Саши, что он сделал?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Спас товарищей, совершил подвиг!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Учитель: Подвиг Александра и его товарищей навсегда останется в наших сердцах. Бойцы Ярославского ОМОН также хранят память о своих товарищах. На фото на стенде можно увидеть именную служебную машину ОМОН, памятник погибшим бойцам на базе ОМОН, а на соседнем стенде – фотографии, рассказывающее о встречах омоновцев с учениками нашей школы.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Так, ветеран органов внутренних дел УМВД России по Ярославской области Владимир Константинович Муратов написал стихотворение, посвященное Героям Ярославского ОМОН. 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Давайте вместе его прочитаем (учитель раздает детям тексты стихотворения).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Рожденных светлых душ высокие полеты,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небесной тишине мы слышим голос их,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 хочется испить счастливый миг свободы,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Поднявшись до небес, коснуться чистоты.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храм поможет нам в великих испытаниях,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Преодолеть все зло и правду обрести,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подвигах сынов мы будем помнить свято,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Героев имена мы в сердце сохраним.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небу России летят журавли,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Молитвы земные их встретят вдали,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светлые души судьба обожгла,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крик раздается в колоколах.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Сентябрьский плач ветров расскажет о страданьях,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Которые пришлось нам всем испить до дна.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Весною к нам придет в тревожных ожиданиях,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Тот долгожданный мир на долгие года.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храм поможет нам в великих испытаниях,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Преодолеть все зло и правду обрести,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подвигах сынов мы будем помнить свято,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Героев имена мы в сердце сохраним.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небу России летят журавли,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Молитвы земные их встретят вдали,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светлые души судьба обожгла,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крик раздается в колоколах.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Учитель: наше мероприятие подошло к концу. До свидания, ребята!</w:t>
      </w:r>
    </w:p>
    <w:p>
      <w:pPr>
        <w:pStyle w:val="Normal"/>
        <w:spacing w:lineRule="auto" w:line="360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Перечень источников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Новикова Д.В. Прогрессивные технологии в организации музеев и перспективные направления развития музейного бизнеса в </w:t>
      </w:r>
      <w:r>
        <w:rPr>
          <w:rFonts w:cs="Times New Roman" w:ascii="Times New Roman" w:hAnsi="Times New Roman"/>
          <w:sz w:val="28"/>
          <w:szCs w:val="28"/>
          <w:lang w:val="en-US"/>
        </w:rPr>
        <w:t>XXI</w:t>
      </w:r>
      <w:r>
        <w:rPr>
          <w:rFonts w:cs="Times New Roman" w:ascii="Times New Roman" w:hAnsi="Times New Roman"/>
          <w:sz w:val="28"/>
          <w:szCs w:val="28"/>
        </w:rPr>
        <w:t xml:space="preserve"> века // Вестник магистратуры. – 2013. - № 12 (27). - Том 1. - С. 154-158.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Прокудина Д.А. Современные подходы к работе музея с детьми и подростками: интерактивность, соавторство, сотворчество // Вестник РМАТ – Искусствоведение. – 2017. - № 3. – С. 112-117. 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>Сорокин А.Н., Полянскова Н.В., Мост Е.С.  Оценка эффективности мероприятий музеев по организации и поддержке нравственно-патриотического воспитания молодежи в регионе (на примере историко-краеведческих музеев муниципальных районов Cамарской области) // Журнал Вестник Волжского университета им. В. Н. Татищева. – 2019. - № 1. -  С. 15-24.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Интернет-ресурс </w:t>
      </w:r>
      <w:r>
        <w:rPr>
          <w:rFonts w:cs="Times New Roman" w:ascii="Times New Roman" w:hAnsi="Times New Roman"/>
          <w:sz w:val="28"/>
          <w:szCs w:val="28"/>
        </w:rPr>
        <w:t>https://www.museum-esenin.ru/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- Государственный музей-заповедник С.А. Есенина. Форма доступа: </w:t>
      </w:r>
      <w:hyperlink r:id="rId2"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>https://www.museum-esenin.ru/specialistam/izdaniya/publikacii-sotrudnikov-gmz-s.a.-esenina-2019-god/2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Интернет-ресурс </w:t>
      </w:r>
      <w:hyperlink r:id="rId3"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>https://www.i-ola-museum.ru/ -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Музей истории города Йошкар-Олы. Форма доступа: </w:t>
      </w:r>
      <w:hyperlink r:id="rId4"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>https://www.i-ola-museum.ru/clauses/issledovaniya/publikatsii-i-stati/interaktivnye-formy-i-metody-raboty-s-molodyozhnoy/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Интернет-ресурс </w:t>
      </w:r>
      <w:hyperlink r:id="rId5">
        <w:r>
          <w:rPr>
            <w:rFonts w:cs="Times New Roman" w:ascii="Times New Roman" w:hAnsi="Times New Roman"/>
            <w:color w:val="000000" w:themeColor="text1"/>
            <w:sz w:val="28"/>
            <w:szCs w:val="28"/>
          </w:rPr>
          <w:t xml:space="preserve"> </w:t>
        </w:r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>https://orioncentr.ru/ -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 xml:space="preserve">ГАНОУ ВО “Региональный центр “Орион”.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Форма </w:t>
      </w:r>
      <w:hyperlink r:id="rId6"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>https://orioncentr.ru/documents/school-museum/metodicheskie-rekomendacii/formy-massovoj-raboty-shkolnogo-muzeja/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>.</w:t>
      </w:r>
    </w:p>
    <w:p>
      <w:pPr>
        <w:pStyle w:val="ListParagraph"/>
        <w:numPr>
          <w:ilvl w:val="0"/>
          <w:numId w:val="1"/>
        </w:numPr>
        <w:spacing w:lineRule="auto" w:line="360"/>
        <w:ind w:left="0" w:right="-2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Интернет-ресурс </w:t>
      </w:r>
      <w:hyperlink r:id="rId7">
        <w:r>
          <w:rPr>
            <w:rFonts w:cs="Times New Roman" w:ascii="Times New Roman" w:hAnsi="Times New Roman"/>
            <w:color w:val="000000" w:themeColor="text1"/>
            <w:sz w:val="28"/>
            <w:szCs w:val="28"/>
            <w:u w:val="none"/>
          </w:rPr>
          <w:t xml:space="preserve"> http://www.kremlin.ru/ -</w:t>
        </w:r>
      </w:hyperlink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 Администрация Президента. Форма доступа: http://www.kremlin.ru/acts/bank/48502.</w:t>
      </w:r>
    </w:p>
    <w:p>
      <w:pPr>
        <w:pStyle w:val="Normal"/>
        <w:spacing w:lineRule="auto" w:line="360"/>
        <w:ind w:right="-2"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Дополнительные материалы и приложения</w:t>
      </w:r>
    </w:p>
    <w:p>
      <w:pPr>
        <w:pStyle w:val="ListParagraph"/>
        <w:spacing w:lineRule="auto" w:line="360"/>
        <w:ind w:left="709" w:right="-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Стихотворение </w:t>
      </w:r>
      <w:r>
        <w:rPr>
          <w:rFonts w:cs="Times New Roman" w:ascii="Times New Roman" w:hAnsi="Times New Roman"/>
          <w:sz w:val="28"/>
          <w:szCs w:val="28"/>
        </w:rPr>
        <w:t xml:space="preserve">ветерана </w:t>
      </w:r>
      <w:bookmarkStart w:id="6" w:name="_GoBack"/>
      <w:bookmarkEnd w:id="6"/>
      <w:r>
        <w:rPr>
          <w:rFonts w:cs="Times New Roman" w:ascii="Times New Roman" w:hAnsi="Times New Roman"/>
          <w:sz w:val="28"/>
          <w:szCs w:val="28"/>
        </w:rPr>
        <w:t xml:space="preserve">органов внутренних дел УМВД России по Ярославской области Владимира Константиновича Муратова Героям. </w:t>
      </w:r>
    </w:p>
    <w:p>
      <w:pPr>
        <w:pStyle w:val="ListParagraph"/>
        <w:spacing w:lineRule="auto" w:line="360"/>
        <w:ind w:left="709" w:right="-2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spacing w:lineRule="auto" w:line="360"/>
        <w:ind w:left="709" w:right="-2" w:hanging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Героям Ярославского ОМОН посвящается…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Рожденных светлых душ высокие полеты,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небесной тишине мы слышим голос их,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Нам хочется испить счастливый миг свободы,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Поднявшись до небес, коснуться чистоты.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храм поможет нам в великих испытаниях,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Преодолеть все зло и правду обрести,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подвигах сынов мы будем помнить свято,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Героев имена мы в сердце сохраним.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небу России летят журавли,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Молитвы земные их встретят вдали,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светлые души судьба обожгла,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крик раздается в колоколах.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Сентябрьский плач ветров расскажет о страданьях,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Которые пришлось нам всем испить до дна.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Весною к нам придет в тревожных ожиданиях,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Тот долгожданный мир на долгие года.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Пусть храм поможет нам в великих испытаниях,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Преодолеть все зло и правду обрести,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подвигах сынов мы будем помнить свято,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Героев имена мы в сердце сохраним.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небу России летят журавли,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Молитвы земные их встретят вдали,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светлые души судьба обожгла,</w:t>
      </w:r>
    </w:p>
    <w:p>
      <w:pPr>
        <w:pStyle w:val="NormalWeb"/>
        <w:shd w:val="clear" w:color="auto" w:fill="FFFFFF"/>
        <w:spacing w:lineRule="auto" w:line="360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Их крик раздается в колоколах.</w:t>
      </w:r>
    </w:p>
    <w:p>
      <w:pPr>
        <w:pStyle w:val="NormalWeb"/>
        <w:shd w:val="clear" w:color="auto" w:fill="FFFFFF"/>
        <w:spacing w:lineRule="auto" w:line="360"/>
        <w:ind w:right="-2" w:firstLine="709"/>
        <w:rPr>
          <w:sz w:val="28"/>
          <w:szCs w:val="28"/>
        </w:rPr>
      </w:pPr>
      <w:r>
        <w:rPr>
          <w:sz w:val="28"/>
          <w:szCs w:val="28"/>
        </w:rPr>
        <w:t>Раздаточный материал</w:t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right="-2" w:firstLine="70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360"/>
        <w:ind w:left="-709" w:right="-2" w:hanging="0"/>
        <w:rPr>
          <w:rFonts w:ascii="Times New Roman" w:hAnsi="Times New Roman" w:cs="Times New Roman"/>
          <w:b/>
          <w:b/>
          <w:sz w:val="180"/>
          <w:szCs w:val="28"/>
        </w:rPr>
      </w:pPr>
      <w:r>
        <w:rPr>
          <w:rFonts w:cs="Times New Roman" w:ascii="Times New Roman" w:hAnsi="Times New Roman"/>
          <w:b/>
          <w:sz w:val="180"/>
          <w:szCs w:val="28"/>
        </w:rPr>
        <w:t>П О Д В И Г</w:t>
      </w:r>
    </w:p>
    <w:p>
      <w:pPr>
        <w:pStyle w:val="Normal"/>
        <w:spacing w:lineRule="auto" w:line="360"/>
        <w:ind w:left="-709" w:right="-2" w:hanging="0"/>
        <w:rPr>
          <w:rFonts w:ascii="Times New Roman" w:hAnsi="Times New Roman" w:cs="Times New Roman"/>
          <w:b/>
          <w:b/>
          <w:sz w:val="180"/>
          <w:szCs w:val="28"/>
        </w:rPr>
      </w:pPr>
      <w:r>
        <w:rPr>
          <w:rFonts w:cs="Times New Roman" w:ascii="Times New Roman" w:hAnsi="Times New Roman"/>
          <w:b/>
          <w:sz w:val="180"/>
          <w:szCs w:val="28"/>
        </w:rPr>
        <w:t>П О Д В И Г</w:t>
      </w:r>
    </w:p>
    <w:p>
      <w:pPr>
        <w:pStyle w:val="Normal"/>
        <w:spacing w:lineRule="auto" w:line="360"/>
        <w:ind w:left="-709" w:right="-2" w:hanging="0"/>
        <w:rPr>
          <w:rFonts w:ascii="Times New Roman" w:hAnsi="Times New Roman" w:cs="Times New Roman"/>
          <w:b/>
          <w:b/>
          <w:sz w:val="180"/>
          <w:szCs w:val="28"/>
        </w:rPr>
      </w:pPr>
      <w:r>
        <w:rPr>
          <w:rFonts w:cs="Times New Roman" w:ascii="Times New Roman" w:hAnsi="Times New Roman"/>
          <w:b/>
          <w:sz w:val="180"/>
          <w:szCs w:val="28"/>
        </w:rPr>
        <w:t>П О Д В И Г</w:t>
      </w:r>
    </w:p>
    <w:p>
      <w:pPr>
        <w:pStyle w:val="Normal"/>
        <w:spacing w:lineRule="auto" w:line="360"/>
        <w:ind w:left="-1134" w:right="-2" w:hanging="0"/>
        <w:rPr>
          <w:rFonts w:ascii="Times New Roman" w:hAnsi="Times New Roman" w:cs="Times New Roman"/>
          <w:b/>
          <w:b/>
          <w:sz w:val="28"/>
          <w:szCs w:val="28"/>
        </w:rPr>
      </w:pPr>
      <w:r>
        <w:rPr/>
      </w:r>
    </w:p>
    <w:sectPr>
      <w:footerReference w:type="default" r:id="rId8"/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800772675"/>
    </w:sdtPr>
    <w:sdtContent>
      <w:p>
        <w:pPr>
          <w:pStyle w:val="Style31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15</w:t>
        </w:r>
        <w:r>
          <w:rPr/>
          <w:fldChar w:fldCharType="end"/>
        </w:r>
      </w:p>
    </w:sdtContent>
  </w:sdt>
  <w:p>
    <w:pPr>
      <w:pStyle w:val="Style31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yle28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Style w:val="Style19"/>
        </w:rPr>
        <w:footnoteRef/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Интернет-ресурс  http://www.kremlin.ru/ - Администрация Президента. Форма доступа: http://www.kremlin.ru/acts/bank/48502.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a7e88"/>
    <w:pPr>
      <w:widowControl/>
      <w:suppressAutoHyphens w:val="true"/>
      <w:bidi w:val="0"/>
      <w:spacing w:before="0" w:after="0"/>
      <w:ind w:right="-425" w:hanging="0"/>
      <w:jc w:val="center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b54fd4"/>
    <w:rPr/>
  </w:style>
  <w:style w:type="character" w:styleId="Style14">
    <w:name w:val="Интернет-ссылка"/>
    <w:basedOn w:val="DefaultParagraphFont"/>
    <w:uiPriority w:val="99"/>
    <w:unhideWhenUsed/>
    <w:rsid w:val="00b14d8e"/>
    <w:rPr>
      <w:color w:val="0000FF"/>
      <w:u w:val="single"/>
    </w:rPr>
  </w:style>
  <w:style w:type="character" w:styleId="Style15" w:customStyle="1">
    <w:name w:val="Текст сноски Знак"/>
    <w:basedOn w:val="DefaultParagraphFont"/>
    <w:link w:val="ab"/>
    <w:uiPriority w:val="99"/>
    <w:semiHidden/>
    <w:qFormat/>
    <w:rsid w:val="0041139c"/>
    <w:rPr>
      <w:szCs w:val="20"/>
    </w:rPr>
  </w:style>
  <w:style w:type="character" w:styleId="Style16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41139c"/>
    <w:rPr>
      <w:vertAlign w:val="superscript"/>
    </w:rPr>
  </w:style>
  <w:style w:type="character" w:styleId="Style17" w:customStyle="1">
    <w:name w:val="Верхний колонтитул Знак"/>
    <w:basedOn w:val="DefaultParagraphFont"/>
    <w:link w:val="ae"/>
    <w:uiPriority w:val="99"/>
    <w:qFormat/>
    <w:rsid w:val="0041139c"/>
    <w:rPr>
      <w:sz w:val="22"/>
    </w:rPr>
  </w:style>
  <w:style w:type="character" w:styleId="Style18" w:customStyle="1">
    <w:name w:val="Нижний колонтитул Знак"/>
    <w:basedOn w:val="DefaultParagraphFont"/>
    <w:link w:val="af0"/>
    <w:uiPriority w:val="99"/>
    <w:qFormat/>
    <w:rsid w:val="0041139c"/>
    <w:rPr>
      <w:sz w:val="22"/>
    </w:rPr>
  </w:style>
  <w:style w:type="character" w:styleId="Style19">
    <w:name w:val="Символ сноски"/>
    <w:qFormat/>
    <w:rPr/>
  </w:style>
  <w:style w:type="character" w:styleId="Style20">
    <w:name w:val="Привязка концевой сноски"/>
    <w:rPr>
      <w:vertAlign w:val="superscript"/>
    </w:rPr>
  </w:style>
  <w:style w:type="character" w:styleId="Style21">
    <w:name w:val="Символ концевой сноски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23">
    <w:name w:val="Body Text"/>
    <w:basedOn w:val="Normal"/>
    <w:rsid w:val="00a258e2"/>
    <w:pPr>
      <w:spacing w:lineRule="auto" w:line="276" w:before="0" w:after="140"/>
    </w:pPr>
    <w:rPr/>
  </w:style>
  <w:style w:type="paragraph" w:styleId="Style24">
    <w:name w:val="List"/>
    <w:basedOn w:val="Style23"/>
    <w:rsid w:val="00a258e2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Заголовок 11"/>
    <w:basedOn w:val="1"/>
    <w:next w:val="Style23"/>
    <w:qFormat/>
    <w:rsid w:val="00a258e2"/>
    <w:pPr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1" w:customStyle="1">
    <w:name w:val="Заголовок1"/>
    <w:basedOn w:val="Normal"/>
    <w:next w:val="Style23"/>
    <w:qFormat/>
    <w:rsid w:val="00a258e2"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12" w:customStyle="1">
    <w:name w:val="Название объекта1"/>
    <w:basedOn w:val="Normal"/>
    <w:qFormat/>
    <w:rsid w:val="00a258e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rsid w:val="00a258e2"/>
    <w:pPr>
      <w:suppressLineNumbers/>
    </w:pPr>
    <w:rPr>
      <w:rFonts w:cs="Arial"/>
    </w:rPr>
  </w:style>
  <w:style w:type="paragraph" w:styleId="Style27">
    <w:name w:val="Title"/>
    <w:basedOn w:val="Normal"/>
    <w:next w:val="Style23"/>
    <w:qFormat/>
    <w:rsid w:val="00a258e2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a258e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rsid w:val="00a258e2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b14d8e"/>
    <w:pPr>
      <w:spacing w:before="0" w:after="0"/>
      <w:ind w:left="720" w:right="-425" w:hanging="0"/>
      <w:contextualSpacing/>
    </w:pPr>
    <w:rPr/>
  </w:style>
  <w:style w:type="paragraph" w:styleId="Style28">
    <w:name w:val="Footnote Text"/>
    <w:basedOn w:val="Normal"/>
    <w:link w:val="ac"/>
    <w:uiPriority w:val="99"/>
    <w:semiHidden/>
    <w:unhideWhenUsed/>
    <w:rsid w:val="0041139c"/>
    <w:pPr/>
    <w:rPr>
      <w:sz w:val="20"/>
      <w:szCs w:val="20"/>
    </w:rPr>
  </w:style>
  <w:style w:type="paragraph" w:styleId="Style29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link w:val="af"/>
    <w:uiPriority w:val="99"/>
    <w:unhideWhenUsed/>
    <w:rsid w:val="0041139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af1"/>
    <w:uiPriority w:val="99"/>
    <w:unhideWhenUsed/>
    <w:rsid w:val="0041139c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museum-esenin.ru/specialistam/izdaniya/publikacii-sotrudnikov-gmz-s.a.-esenina-2019-god/2" TargetMode="External"/><Relationship Id="rId3" Type="http://schemas.openxmlformats.org/officeDocument/2006/relationships/hyperlink" Target="https://www.i-ola-museum.ru/ -" TargetMode="External"/><Relationship Id="rId4" Type="http://schemas.openxmlformats.org/officeDocument/2006/relationships/hyperlink" Target="https://www.i-ola-museum.ru/clauses/issledovaniya/publikatsii-i-stati/interaktivnye-formy-i-metody-raboty-s-molodyozhnoy/" TargetMode="External"/><Relationship Id="rId5" Type="http://schemas.openxmlformats.org/officeDocument/2006/relationships/hyperlink" Target="https://www.i-ola-museum.ru/ -" TargetMode="External"/><Relationship Id="rId6" Type="http://schemas.openxmlformats.org/officeDocument/2006/relationships/hyperlink" Target="https://orioncentr.ru/documents/school-museum/metodicheskie-rekomendacii/formy-massovoj-raboty-shkolnogo-muzeja/" TargetMode="External"/><Relationship Id="rId7" Type="http://schemas.openxmlformats.org/officeDocument/2006/relationships/hyperlink" Target="./%20http://www.kremlin.ru/%20-" TargetMode="External"/><Relationship Id="rId8" Type="http://schemas.openxmlformats.org/officeDocument/2006/relationships/footer" Target="footer1.xml"/><Relationship Id="rId9" Type="http://schemas.openxmlformats.org/officeDocument/2006/relationships/footnotes" Target="footnotes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616F5-652F-4910-AEC5-F947125EB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Application>LibreOffice/6.4.6.2$Linux_X86_64 LibreOffice_project/40$Build-2</Application>
  <Pages>15</Pages>
  <Words>2130</Words>
  <Characters>13767</Characters>
  <CharactersWithSpaces>15835</CharactersWithSpaces>
  <Paragraphs>156</Paragraphs>
  <Company>Romeo1994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2024-11-28T19:13:00Z</dcterms:created>
  <dc:creator>Футурист</dc:creator>
  <dc:description/>
  <dc:language>ru-RU</dc:language>
  <cp:lastModifiedBy/>
  <dcterms:modified xsi:type="dcterms:W3CDTF">2025-06-30T14:01:30Z</dcterms:modified>
  <cp:revision>194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Romeo1994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