
<file path=[Content_Types].xml><?xml version="1.0" encoding="utf-8"?>
<Types xmlns="http://schemas.openxmlformats.org/package/2006/content-types">
  <Default ContentType="image/jpeg" Extension="jpeg"/>
  <Default ContentType="application/xml" Extension="xml"/>
  <Default ContentType="image/webp" Extension="webp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rPr>
          <w:b w:val="1"/>
          <w:i w:val="1"/>
        </w:rPr>
      </w:pPr>
      <w:r>
        <w:rPr>
          <w:b w:val="1"/>
          <w:i w:val="1"/>
        </w:rPr>
        <w:drawing>
          <wp:inline>
            <wp:extent cx="6645910" cy="2946397"/>
            <wp:docPr hidden="false" id="1" name="Picture 1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2"/>
                    <a:stretch/>
                  </pic:blipFill>
                  <pic:spPr>
                    <a:xfrm flipH="false" flipV="false" rot="0">
                      <a:ext cx="6645910" cy="294639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b w:val="1"/>
          <w:i w:val="1"/>
        </w:rPr>
        <w:t>«Волшебная манка»</w:t>
      </w:r>
    </w:p>
    <w:p w14:paraId="04000000"/>
    <w:p w14:paraId="05000000">
      <w:r>
        <w:t>Цель и задачи работы с воспитанниками второй младшей группы детского сада по развитию речи посредством использования манной крупы</w:t>
      </w:r>
    </w:p>
    <w:p w14:paraId="06000000"/>
    <w:p w14:paraId="07000000">
      <w:r>
        <w:t>Основной задачей педагога является гармоничное развитие каждого ребёнка и создание условий для успешного освоения коммуникативных навыков. Для достижения данной цели важное значение приобретает организация игровых форм деятельности, способствующих активному освоению ребёнком окружающего мира. Использование привычной и доступной манной крупы в образовательном процессе представляет собой перспективное направление, позволяющее эффективно решать поставленные образовательные задачи.</w:t>
      </w:r>
    </w:p>
    <w:p w14:paraId="08000000"/>
    <w:p w14:paraId="09000000">
      <w:r>
        <w:rPr>
          <w:b w:val="1"/>
        </w:rPr>
        <w:t>1. Игровая деятельность в условиях группы</w:t>
      </w:r>
    </w:p>
    <w:p w14:paraId="0A000000"/>
    <w:p w14:paraId="0B000000">
      <w:r>
        <w:t>Группа активно внедряет разнообразные игровые формы взаимодействия с использованием манной крупы.</w:t>
      </w:r>
    </w:p>
    <w:p w14:paraId="0C000000"/>
    <w:p w14:paraId="0D000000">
      <w:pPr>
        <w:pStyle w:val="Style_1"/>
        <w:numPr>
          <w:ilvl w:val="0"/>
          <w:numId w:val="1"/>
        </w:numPr>
      </w:pPr>
      <w:r>
        <w:t>Игра «Раскопки»: данное игровое задание направлено на формирование мелкой моторики рук, координации движений и наблюдательности. Ребёнок погружает руку в ёмкость с манной крупой и извлекает скрытые предметы (игрушки, элементы букв), стимулируя тем самым сенсомоторное развитие.</w:t>
      </w:r>
    </w:p>
    <w:p w14:paraId="0E000000">
      <w:pPr>
        <w:pStyle w:val="Style_1"/>
        <w:numPr>
          <w:ilvl w:val="0"/>
          <w:numId w:val="1"/>
        </w:numPr>
      </w:pPr>
      <w:r>
        <w:t>Игра «Посадка овощей»: здесь ребёнок знакомится с основами природоведческих знаний, представляя процесс посадки растений. Манная крупа используется в роли почвы, что способствует формированию воображения и творческих способностей.</w:t>
      </w:r>
    </w:p>
    <w:p w14:paraId="0F000000">
      <w:pPr>
        <w:pStyle w:val="Style_1"/>
        <w:numPr>
          <w:ilvl w:val="0"/>
          <w:numId w:val="1"/>
        </w:numPr>
      </w:pPr>
      <w:r>
        <w:drawing>
          <wp:inline>
            <wp:extent cx="4521056" cy="10197719"/>
            <wp:docPr hidden="false" id="3" name="Picture 3"/>
            <a:graphic>
              <a:graphicData uri="http://schemas.openxmlformats.org/drawingml/2006/picture">
                <pic:pic>
                  <pic:nvPicPr>
                    <pic:cNvPr hidden="false" id="4" name="Picture 4"/>
                    <pic:cNvPicPr preferRelativeResize="true"/>
                  </pic:nvPicPr>
                  <pic:blipFill>
                    <a:blip r:embed="rId3"/>
                    <a:stretch/>
                  </pic:blipFill>
                  <pic:spPr>
                    <a:xfrm flipH="false" flipV="false" rot="0">
                      <a:ext cx="4521056" cy="10197719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0000000"/>
    <w:p w14:paraId="11000000">
      <w:r>
        <w:rPr>
          <w:b w:val="1"/>
        </w:rPr>
        <w:t>2. Участие семьи в развитии ребёнка</w:t>
      </w:r>
    </w:p>
    <w:p w14:paraId="12000000"/>
    <w:p w14:paraId="13000000">
      <w:r>
        <w:t>Педагог подчёркивает значимость семейного сотрудничества в рамках образовательной программы. Родителям предлагаются следующие рекомендации:</w:t>
      </w:r>
    </w:p>
    <w:p w14:paraId="14000000"/>
    <w:p w14:paraId="15000000">
      <w:pPr>
        <w:pStyle w:val="Style_1"/>
        <w:numPr>
          <w:ilvl w:val="0"/>
          <w:numId w:val="1"/>
        </w:numPr>
      </w:pPr>
      <w:r>
        <w:t>Игра «Раскопки пазлов»: родители прячут части головоломки в слой манной крупы, стимулируя умение концентрироваться и решать логические задачи.</w:t>
      </w:r>
    </w:p>
    <w:p w14:paraId="16000000">
      <w:pPr>
        <w:pStyle w:val="Style_1"/>
        <w:numPr>
          <w:ilvl w:val="0"/>
          <w:numId w:val="1"/>
        </w:numPr>
      </w:pPr>
      <w:r>
        <w:drawing>
          <wp:inline>
            <wp:extent cx="4896385" cy="6528516"/>
            <wp:docPr hidden="false" id="5" name="Picture 5"/>
            <a:graphic>
              <a:graphicData uri="http://schemas.openxmlformats.org/drawingml/2006/picture">
                <pic:pic>
                  <pic:nvPicPr>
                    <pic:cNvPr hidden="false" id="6" name="Picture 6"/>
                    <pic:cNvPicPr preferRelativeResize="true"/>
                  </pic:nvPicPr>
                  <pic:blipFill>
                    <a:blip r:embed="rId4"/>
                    <a:stretch/>
                  </pic:blipFill>
                  <pic:spPr>
                    <a:xfrm flipH="false" flipV="false" rot="0">
                      <a:ext cx="4896385" cy="6528516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7000000">
      <w:pPr>
        <w:pStyle w:val="Style_1"/>
        <w:numPr>
          <w:ilvl w:val="0"/>
          <w:numId w:val="1"/>
        </w:numPr>
      </w:pPr>
      <w:r>
        <w:t>Дыхательное упражнение «Найди такую же букву»: эта игра способствует тренировке дыхательной системы и концентрации внимания. Взрослый размещает буквы алфавита среди манной крупы, ребёнок находит такие же буквы, соблюдая ровное дыхание. Так же можно использовать одинаковые картинки.</w:t>
      </w:r>
    </w:p>
    <w:p w14:paraId="18000000">
      <w:pPr>
        <w:pStyle w:val="Style_1"/>
        <w:numPr>
          <w:ilvl w:val="0"/>
          <w:numId w:val="1"/>
        </w:numPr>
      </w:pPr>
      <w:r>
        <w:drawing>
          <wp:inline>
            <wp:extent cx="4896385" cy="2754216"/>
            <wp:docPr hidden="false" id="7" name="Picture 7"/>
            <a:graphic>
              <a:graphicData uri="http://schemas.openxmlformats.org/drawingml/2006/picture">
                <pic:pic>
                  <pic:nvPicPr>
                    <pic:cNvPr hidden="false" id="8" name="Picture 8"/>
                    <pic:cNvPicPr preferRelativeResize="true"/>
                  </pic:nvPicPr>
                  <pic:blipFill>
                    <a:blip r:embed="rId5"/>
                    <a:stretch/>
                  </pic:blipFill>
                  <pic:spPr>
                    <a:xfrm flipH="false" flipV="false" rot="0">
                      <a:ext cx="4896385" cy="2754216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9000000">
      <w:pPr>
        <w:pStyle w:val="Style_1"/>
        <w:numPr>
          <w:ilvl w:val="0"/>
          <w:numId w:val="1"/>
        </w:numPr>
      </w:pPr>
      <w:r>
        <w:t>Творческая игра «Строитель»: данная форма активности предполагает самостоятельное конструирование сооружений из манной крупы, что содействует развитию творческого мышления и инженерных навыков. С использованием маленьких игрушечных машинок.</w:t>
      </w:r>
    </w:p>
    <w:p w14:paraId="1A000000">
      <w:r>
        <w:drawing>
          <wp:inline>
            <wp:extent cx="4896385" cy="6528513"/>
            <wp:docPr hidden="false" id="9" name="Picture 9"/>
            <a:graphic>
              <a:graphicData uri="http://schemas.openxmlformats.org/drawingml/2006/picture">
                <pic:pic>
                  <pic:nvPicPr>
                    <pic:cNvPr hidden="false" id="10" name="Picture 10"/>
                    <pic:cNvPicPr preferRelativeResize="true"/>
                  </pic:nvPicPr>
                  <pic:blipFill>
                    <a:blip r:embed="rId6"/>
                    <a:stretch/>
                  </pic:blipFill>
                  <pic:spPr>
                    <a:xfrm flipH="false" flipV="false" rot="0">
                      <a:ext cx="4896385" cy="6528513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B000000">
      <w:r>
        <w:rPr>
          <w:b w:val="1"/>
        </w:rPr>
        <w:t>3. Заключение</w:t>
      </w:r>
    </w:p>
    <w:p w14:paraId="1C000000"/>
    <w:p w14:paraId="1D000000">
      <w:r>
        <w:t>Таким образом, применение манной крупы в игровой практике оказывает положительное влияние на комплексное развитие детей младшего дошкольного возраста. Педагогически организованные игры способствуют совершенствованию мелкой моторики, вниманию, когнитивным функциям, фантазии и творческой активности, развития речи детей. Активное участие родителей укрепляет детско-родительские отношения, создавая благоприятную атмосферу для полноценного воспитания и всестороннего раскрытия потенциала каждого ребёнка.</w:t>
      </w:r>
    </w:p>
    <w:sectPr>
      <w:footerReference r:id="rId1" w:type="default"/>
      <w:pgSz w:h="16838" w:orient="portrait" w:w="11906"/>
      <w:pgMar w:bottom="0" w:footer="708" w:gutter="0" w:header="708" w:left="720" w:right="720" w:top="72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widowControl w:val="1"/>
      <w:pBdr>
        <w:top w:color="E0E0E0" w:sz="1" w:val="single"/>
      </w:pBdr>
      <w:ind/>
    </w:pPr>
  </w:p>
  <w:p w14:paraId="02000000">
    <w:pPr>
      <w:widowControl w:val="1"/>
      <w:pBdr>
        <w:top w:color="E0E0E0" w:sz="1" w:val="single"/>
      </w:pBdr>
      <w:ind/>
    </w:pPr>
    <w:r>
      <w:rPr>
        <w:color w:val="747474"/>
      </w:rPr>
      <w:t xml:space="preserve">Материал подготовлен в умном редакторе </w:t>
    </w:r>
    <w:r>
      <w:rPr>
        <w:color w:val="2B2BEE"/>
      </w:rPr>
      <w:fldChar w:fldCharType="begin"/>
    </w:r>
    <w:r>
      <w:rPr>
        <w:color w:val="2B2BEE"/>
      </w:rPr>
      <w:instrText>HYPERLINK "https://giga.chat"</w:instrText>
    </w:r>
    <w:r>
      <w:rPr>
        <w:color w:val="2B2BEE"/>
      </w:rPr>
      <w:fldChar w:fldCharType="separate"/>
    </w:r>
    <w:r>
      <w:rPr>
        <w:color w:val="2B2BEE"/>
      </w:rPr>
      <w:t>GigaChat</w:t>
    </w:r>
    <w:r>
      <w:rPr>
        <w:color w:val="2B2BEE"/>
      </w:rPr>
      <w:fldChar w:fldCharType="end"/>
    </w:r>
    <w:r>
      <w:rPr>
        <w:color w:val="747474"/>
      </w:rPr>
      <w:t xml:space="preserve"> — удобный инструмент для качественного текста</w:t>
    </w:r>
  </w:p>
</w:ft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/>
    <w:lvl w:ilvl="1"/>
    <w:lvl w:ilvl="2"/>
    <w:lvl w:ilvl="3"/>
    <w:lvl w:ilvl="4"/>
    <w:lvl w:ilvl="5"/>
    <w:lvl w:ilvl="6"/>
    <w:lvl w:ilvl="7"/>
    <w:lvl w:ilvl="8"/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SB Sans Text, Calibri" w:hAnsi="SB Sans Text, Calibri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Strong"/>
    <w:link w:val="Style_5_ch"/>
    <w:rPr>
      <w:b w:val="1"/>
    </w:rPr>
  </w:style>
  <w:style w:styleId="Style_5_ch" w:type="character">
    <w:name w:val="Strong"/>
    <w:link w:val="Style_5"/>
    <w:rPr>
      <w:b w:val="1"/>
    </w:rPr>
  </w:style>
  <w:style w:styleId="Style_6" w:type="paragraph">
    <w:name w:val="toc 6"/>
    <w:next w:val="Style_2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2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Horizontal row line"/>
    <w:link w:val="Style_8_ch"/>
  </w:style>
  <w:style w:styleId="Style_8_ch" w:type="character">
    <w:name w:val="Horizontal row line"/>
    <w:link w:val="Style_8"/>
  </w:style>
  <w:style w:styleId="Style_9" w:type="paragraph">
    <w:name w:val="Inline code span"/>
    <w:link w:val="Style_9_ch"/>
  </w:style>
  <w:style w:styleId="Style_9_ch" w:type="character">
    <w:name w:val="Inline code span"/>
    <w:link w:val="Style_9"/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link w:val="Style_11_ch"/>
    <w:uiPriority w:val="9"/>
    <w:qFormat/>
    <w:pPr>
      <w:ind/>
      <w:outlineLvl w:val="2"/>
    </w:pPr>
    <w:rPr>
      <w:color w:val="1F4D78"/>
      <w:sz w:val="24"/>
    </w:rPr>
  </w:style>
  <w:style w:styleId="Style_11_ch" w:type="character">
    <w:name w:val="heading 3"/>
    <w:link w:val="Style_11"/>
    <w:rPr>
      <w:color w:val="1F4D78"/>
      <w:sz w:val="24"/>
    </w:rPr>
  </w:style>
  <w:style w:styleId="Style_1" w:type="paragraph">
    <w:name w:val="List Paragraph"/>
    <w:link w:val="Style_1_ch"/>
  </w:style>
  <w:style w:styleId="Style_1_ch" w:type="character">
    <w:name w:val="List Paragraph"/>
    <w:link w:val="Style_1"/>
  </w:style>
  <w:style w:styleId="Style_12" w:type="paragraph">
    <w:name w:val="footnote reference"/>
    <w:link w:val="Style_12_ch"/>
    <w:rPr>
      <w:vertAlign w:val="superscript"/>
    </w:rPr>
  </w:style>
  <w:style w:styleId="Style_12_ch" w:type="character">
    <w:name w:val="footnote reference"/>
    <w:link w:val="Style_12"/>
    <w:rPr>
      <w:vertAlign w:val="superscript"/>
    </w:rPr>
  </w:style>
  <w:style w:styleId="Style_13" w:type="paragraph">
    <w:name w:val="toc 3"/>
    <w:next w:val="Style_2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link w:val="Style_14_ch"/>
    <w:uiPriority w:val="9"/>
    <w:qFormat/>
    <w:pPr>
      <w:ind/>
      <w:outlineLvl w:val="4"/>
    </w:pPr>
    <w:rPr>
      <w:color w:val="2E74B5"/>
    </w:rPr>
  </w:style>
  <w:style w:styleId="Style_14_ch" w:type="character">
    <w:name w:val="heading 5"/>
    <w:link w:val="Style_14"/>
    <w:rPr>
      <w:color w:val="2E74B5"/>
    </w:rPr>
  </w:style>
  <w:style w:styleId="Style_15" w:type="paragraph">
    <w:name w:val="heading 1"/>
    <w:link w:val="Style_15_ch"/>
    <w:uiPriority w:val="9"/>
    <w:qFormat/>
    <w:pPr>
      <w:ind/>
      <w:outlineLvl w:val="0"/>
    </w:pPr>
    <w:rPr>
      <w:color w:val="2E74B5"/>
      <w:sz w:val="32"/>
    </w:rPr>
  </w:style>
  <w:style w:styleId="Style_15_ch" w:type="character">
    <w:name w:val="heading 1"/>
    <w:link w:val="Style_15"/>
    <w:rPr>
      <w:color w:val="2E74B5"/>
      <w:sz w:val="32"/>
    </w:rPr>
  </w:style>
  <w:style w:styleId="Style_16" w:type="paragraph">
    <w:name w:val="Hyperlink"/>
    <w:link w:val="Style_16_ch"/>
    <w:rPr>
      <w:color w:val="0563C1"/>
      <w:u w:val="single"/>
    </w:rPr>
  </w:style>
  <w:style w:styleId="Style_16_ch" w:type="character">
    <w:name w:val="Hyperlink"/>
    <w:link w:val="Style_16"/>
    <w:rPr>
      <w:color w:val="0563C1"/>
      <w:u w:val="single"/>
    </w:rPr>
  </w:style>
  <w:style w:styleId="Style_17" w:type="paragraph">
    <w:name w:val="Footnote"/>
    <w:link w:val="Style_17_ch"/>
    <w:pPr>
      <w:widowControl w:val="1"/>
      <w:spacing w:after="0" w:line="240" w:lineRule="auto"/>
      <w:ind/>
    </w:pPr>
    <w:rPr>
      <w:sz w:val="20"/>
    </w:rPr>
  </w:style>
  <w:style w:styleId="Style_17_ch" w:type="character">
    <w:name w:val="Footnote"/>
    <w:link w:val="Style_17"/>
    <w:rPr>
      <w:sz w:val="20"/>
    </w:rPr>
  </w:style>
  <w:style w:styleId="Style_18" w:type="paragraph">
    <w:name w:val="toc 1"/>
    <w:next w:val="Style_2"/>
    <w:link w:val="Style_18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20" w:type="paragraph">
    <w:name w:val="toc 9"/>
    <w:next w:val="Style_2"/>
    <w:link w:val="Style_2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Code block"/>
    <w:link w:val="Style_21_ch"/>
  </w:style>
  <w:style w:styleId="Style_21_ch" w:type="character">
    <w:name w:val="Code block"/>
    <w:link w:val="Style_21"/>
  </w:style>
  <w:style w:styleId="Style_22" w:type="paragraph">
    <w:name w:val="toc 8"/>
    <w:next w:val="Style_2"/>
    <w:link w:val="Style_22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Blockquote"/>
    <w:link w:val="Style_23_ch"/>
  </w:style>
  <w:style w:styleId="Style_23_ch" w:type="character">
    <w:name w:val="Blockquote"/>
    <w:link w:val="Style_23"/>
  </w:style>
  <w:style w:styleId="Style_24" w:type="paragraph">
    <w:name w:val="toc 5"/>
    <w:next w:val="Style_2"/>
    <w:link w:val="Style_24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25" w:type="paragraph">
    <w:name w:val="Subtitle"/>
    <w:next w:val="Style_2"/>
    <w:link w:val="Style_2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Title"/>
    <w:link w:val="Style_26_ch"/>
    <w:uiPriority w:val="10"/>
    <w:qFormat/>
    <w:rPr>
      <w:sz w:val="56"/>
    </w:rPr>
  </w:style>
  <w:style w:styleId="Style_26_ch" w:type="character">
    <w:name w:val="Title"/>
    <w:link w:val="Style_26"/>
    <w:rPr>
      <w:sz w:val="56"/>
    </w:rPr>
  </w:style>
  <w:style w:styleId="Style_27" w:type="paragraph">
    <w:name w:val="heading 4"/>
    <w:link w:val="Style_27_ch"/>
    <w:uiPriority w:val="9"/>
    <w:qFormat/>
    <w:pPr>
      <w:ind/>
      <w:outlineLvl w:val="3"/>
    </w:pPr>
    <w:rPr>
      <w:i w:val="1"/>
      <w:color w:val="2E74B5"/>
    </w:rPr>
  </w:style>
  <w:style w:styleId="Style_27_ch" w:type="character">
    <w:name w:val="heading 4"/>
    <w:link w:val="Style_27"/>
    <w:rPr>
      <w:i w:val="1"/>
      <w:color w:val="2E74B5"/>
    </w:rPr>
  </w:style>
  <w:style w:styleId="Style_28" w:type="paragraph">
    <w:name w:val="heading 2"/>
    <w:link w:val="Style_28_ch"/>
    <w:uiPriority w:val="9"/>
    <w:qFormat/>
    <w:pPr>
      <w:ind/>
      <w:outlineLvl w:val="1"/>
    </w:pPr>
    <w:rPr>
      <w:color w:val="2E74B5"/>
      <w:sz w:val="26"/>
    </w:rPr>
  </w:style>
  <w:style w:styleId="Style_28_ch" w:type="character">
    <w:name w:val="heading 2"/>
    <w:link w:val="Style_28"/>
    <w:rPr>
      <w:color w:val="2E74B5"/>
      <w:sz w:val="26"/>
    </w:rPr>
  </w:style>
  <w:style w:styleId="Style_29" w:type="paragraph">
    <w:name w:val="heading 6"/>
    <w:link w:val="Style_29_ch"/>
    <w:uiPriority w:val="9"/>
    <w:qFormat/>
    <w:pPr>
      <w:ind/>
      <w:outlineLvl w:val="5"/>
    </w:pPr>
    <w:rPr>
      <w:color w:val="1F4D78"/>
    </w:rPr>
  </w:style>
  <w:style w:styleId="Style_29_ch" w:type="character">
    <w:name w:val="heading 6"/>
    <w:link w:val="Style_29"/>
    <w:rPr>
      <w:color w:val="1F4D7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media/5.webp" Type="http://schemas.openxmlformats.org/officeDocument/2006/relationships/image"/>
  <Relationship Id="rId1" Target="footer1.xml" Type="http://schemas.openxmlformats.org/officeDocument/2006/relationships/footer"/>
  <Relationship Id="rId13" Target="numbering.xml" Type="http://schemas.openxmlformats.org/officeDocument/2006/relationships/numbering"/>
  <Relationship Id="rId12" Target="theme/theme1.xml" Type="http://schemas.openxmlformats.org/officeDocument/2006/relationships/theme"/>
  <Relationship Id="rId10" Target="stylesWithEffects.xml" Type="http://schemas.microsoft.com/office/2007/relationships/stylesWithEffects"/>
  <Relationship Id="rId2" Target="media/1.jpeg" Type="http://schemas.openxmlformats.org/officeDocument/2006/relationships/image"/>
  <Relationship Id="rId3" Target="media/2.jpeg" Type="http://schemas.openxmlformats.org/officeDocument/2006/relationships/image"/>
  <Relationship Id="rId8" Target="settings.xml" Type="http://schemas.openxmlformats.org/officeDocument/2006/relationships/settings"/>
  <Relationship Id="rId4" Target="media/3.webp" Type="http://schemas.openxmlformats.org/officeDocument/2006/relationships/image"/>
  <Relationship Id="rId11" Target="webSettings.xml" Type="http://schemas.openxmlformats.org/officeDocument/2006/relationships/webSettings"/>
  <Relationship Id="rId9" Target="styles.xml" Type="http://schemas.openxmlformats.org/officeDocument/2006/relationships/styles"/>
  <Relationship Id="rId7" Target="fontTable.xml" Type="http://schemas.openxmlformats.org/officeDocument/2006/relationships/fontTable"/>
  <Relationship Id="rId5" Target="media/4.jpeg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MyOffice-CoreFramework-Android/37-1367.1091.10011.1001.1@92c86c4fc59398dd64f1786b019b76a317813c64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2025-06-09T16:41:34Z</dcterms:created>
  <dcterms:modified xsi:type="dcterms:W3CDTF">2025-06-09T16:41:34Z</dcterms:modified>
</cp:coreProperties>
</file>