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AA1" w:rsidRDefault="00B30AA1" w:rsidP="00B30AA1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gramStart"/>
      <w:r w:rsidRPr="00B30AA1">
        <w:rPr>
          <w:rFonts w:ascii="Times New Roman" w:hAnsi="Times New Roman" w:cs="Times New Roman"/>
          <w:b/>
          <w:sz w:val="28"/>
          <w:szCs w:val="28"/>
        </w:rPr>
        <w:t xml:space="preserve">Мониторинг уровня социализации личности обучающихся, занимающихся в творческих объединениях дополнительного образования в </w:t>
      </w:r>
      <w:proofErr w:type="spellStart"/>
      <w:r w:rsidRPr="00B30AA1">
        <w:rPr>
          <w:rFonts w:ascii="Times New Roman" w:hAnsi="Times New Roman" w:cs="Times New Roman"/>
          <w:b/>
          <w:sz w:val="28"/>
          <w:szCs w:val="28"/>
        </w:rPr>
        <w:t>Безенчукском</w:t>
      </w:r>
      <w:proofErr w:type="spellEnd"/>
      <w:r w:rsidRPr="00B30AA1">
        <w:rPr>
          <w:rFonts w:ascii="Times New Roman" w:hAnsi="Times New Roman" w:cs="Times New Roman"/>
          <w:b/>
          <w:sz w:val="28"/>
          <w:szCs w:val="28"/>
        </w:rPr>
        <w:t xml:space="preserve"> аграрном техникуме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bookmarkEnd w:id="0"/>
    <w:p w:rsidR="00B70122" w:rsidRPr="00486F40" w:rsidRDefault="00B70122" w:rsidP="00B70122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86F40">
        <w:rPr>
          <w:rFonts w:ascii="Times New Roman" w:hAnsi="Times New Roman" w:cs="Times New Roman"/>
          <w:b/>
          <w:sz w:val="28"/>
          <w:szCs w:val="28"/>
        </w:rPr>
        <w:t xml:space="preserve">Причина исследования: 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рамках деятельности региональной инновационной площадки «Современные способы социализации обучающихся через включение их </w:t>
      </w:r>
      <w:r w:rsidR="00B30AA1" w:rsidRPr="00B30AA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систему 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дополнительного образования» на период 2023-2025 г. на базе ГБПОУ БАТ проведен социальный опрос</w:t>
      </w:r>
      <w:r w:rsidR="00FC657E"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B70122" w:rsidRPr="00486F40" w:rsidRDefault="00B70122" w:rsidP="00B70122">
      <w:pPr>
        <w:shd w:val="clear" w:color="auto" w:fill="FFFFFF"/>
        <w:jc w:val="both"/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</w:pPr>
      <w:r w:rsidRPr="00486F4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Дата проведения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с  </w:t>
      </w:r>
      <w:r w:rsidR="00597AB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13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1</w:t>
      </w:r>
      <w:r w:rsidR="00597AB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</w:t>
      </w:r>
      <w:r w:rsidR="00597AB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2024 года </w:t>
      </w:r>
      <w:proofErr w:type="gramStart"/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среди</w:t>
      </w:r>
      <w:proofErr w:type="gramEnd"/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46440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обучающихся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97AB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состоящих </w:t>
      </w:r>
      <w:r w:rsidR="000C649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общественных объединениях ГБПОУ БАТ</w:t>
      </w:r>
      <w:r w:rsidRPr="00486F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B70122" w:rsidRPr="00486F40" w:rsidRDefault="00B70122" w:rsidP="00B7012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486F4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eastAsia="ru-RU"/>
        </w:rPr>
        <w:t>Цель:</w:t>
      </w: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 провести социологический опрос для выявления степени социализации личности обучающегося и использовать результаты в работе инновационной площадки «Современные способы социализации обучающихся через включение их в систему дополнительного образования».</w:t>
      </w:r>
    </w:p>
    <w:p w:rsidR="00B70122" w:rsidRPr="00486F40" w:rsidRDefault="00B70122" w:rsidP="00B7012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eastAsia="ru-RU"/>
        </w:rPr>
      </w:pP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ab/>
      </w:r>
      <w:r w:rsidRPr="00486F4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eastAsia="ru-RU"/>
        </w:rPr>
        <w:t>Задачи:</w:t>
      </w:r>
    </w:p>
    <w:p w:rsidR="00B70122" w:rsidRPr="00486F40" w:rsidRDefault="00B70122" w:rsidP="00B701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Calibri" w:eastAsia="Times New Roman" w:hAnsi="Calibri" w:cs="Times New Roman"/>
          <w:color w:val="212529"/>
          <w:sz w:val="28"/>
          <w:szCs w:val="28"/>
          <w:shd w:val="clear" w:color="auto" w:fill="F4F4F4"/>
          <w:lang w:eastAsia="ru-RU"/>
        </w:rPr>
      </w:pP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Проведение социологического опроса «</w:t>
      </w: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Диагностика изучения </w:t>
      </w:r>
      <w:proofErr w:type="spellStart"/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социализированности</w:t>
      </w:r>
      <w:proofErr w:type="spellEnd"/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 (разработана М.И. Рожковым)»</w:t>
      </w:r>
    </w:p>
    <w:p w:rsidR="00B70122" w:rsidRPr="00486F40" w:rsidRDefault="00B70122" w:rsidP="00B7012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Применение социального паспорта в работе инновационной площадки «Современные способы социализации обучающихся через включение их в систему дополнительного образования».</w:t>
      </w:r>
    </w:p>
    <w:p w:rsidR="00B70122" w:rsidRPr="000C6499" w:rsidRDefault="00B70122" w:rsidP="000C64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В опросе «</w:t>
      </w: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Диагностика изучения </w:t>
      </w:r>
      <w:proofErr w:type="spellStart"/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социализированности</w:t>
      </w:r>
      <w:proofErr w:type="spellEnd"/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 (разработана М.И. Рожковым)»</w:t>
      </w:r>
      <w:r w:rsidRPr="00486F4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, участвовало </w:t>
      </w:r>
      <w:r w:rsidR="000C6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 объединений</w:t>
      </w:r>
      <w:proofErr w:type="gramStart"/>
      <w:r w:rsidR="000C6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="000C6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C6499" w:rsidRPr="000C6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Научно-исследовательское общество «Синергия», Творческое объединение «Математический деликатес», студенческий клуб по астрономии и космонавтики «#ПРОСТОКОСМОС», экологический клуб «Зеленый мир», первичное отделение «Движение Первых</w:t>
      </w:r>
      <w:r w:rsidR="000C6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B70122" w:rsidRDefault="00D545D8" w:rsidP="00B701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34000" cy="2266950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E2F64" w:rsidRPr="00FE2F64" w:rsidRDefault="00FE2F64" w:rsidP="00FE2F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0"/>
          <w:lang w:eastAsia="ru-RU"/>
        </w:rPr>
      </w:pPr>
      <w:r w:rsidRPr="00FE2F64">
        <w:rPr>
          <w:rFonts w:ascii="Times New Roman" w:eastAsia="Times New Roman" w:hAnsi="Times New Roman" w:cs="Times New Roman"/>
          <w:color w:val="212529"/>
          <w:sz w:val="28"/>
          <w:szCs w:val="20"/>
          <w:lang w:eastAsia="ru-RU"/>
        </w:rPr>
        <w:t xml:space="preserve"> </w:t>
      </w:r>
      <w:proofErr w:type="gramStart"/>
      <w:r w:rsidRPr="00FE2F64">
        <w:rPr>
          <w:rFonts w:ascii="Times New Roman" w:eastAsia="Times New Roman" w:hAnsi="Times New Roman" w:cs="Times New Roman"/>
          <w:color w:val="212529"/>
          <w:sz w:val="28"/>
          <w:szCs w:val="20"/>
          <w:lang w:eastAsia="ru-RU"/>
        </w:rPr>
        <w:t>Уровень адаптивности обучающихся в объединении «Синергия» оказался выше, чем у обучающихся в других объединениях, однако ниже, чем у обучающихся в первичном отделении «Движение Первых».</w:t>
      </w:r>
      <w:proofErr w:type="gramEnd"/>
      <w:r w:rsidRPr="00FE2F64">
        <w:rPr>
          <w:rFonts w:ascii="Times New Roman" w:eastAsia="Times New Roman" w:hAnsi="Times New Roman" w:cs="Times New Roman"/>
          <w:color w:val="212529"/>
          <w:sz w:val="28"/>
          <w:szCs w:val="20"/>
          <w:lang w:eastAsia="ru-RU"/>
        </w:rPr>
        <w:t xml:space="preserve"> В целом, все группы продемонстрировали средний уровень адаптивности с небольшими различиями.</w:t>
      </w:r>
    </w:p>
    <w:p w:rsidR="002E06DC" w:rsidRPr="00D545D8" w:rsidRDefault="00FB0E66" w:rsidP="00D545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D98005D" wp14:editId="2B52DF54">
            <wp:extent cx="5210175" cy="2343150"/>
            <wp:effectExtent l="0" t="0" r="0" b="0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E130B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2F64">
        <w:rPr>
          <w:rFonts w:ascii="Times New Roman" w:hAnsi="Times New Roman" w:cs="Times New Roman"/>
          <w:sz w:val="28"/>
          <w:szCs w:val="28"/>
        </w:rPr>
        <w:t>Были выявлены небольшие различия между уровнями автономности в разных общественных объединениях. «Математический деликатес» и «Движение Первых» показали немного более высокий уровень автономности по сравнению с остальными, в то время как «Зеленый мир» — наименьший. Общественные объединения в целом демонстрируют средний уровень автономности, что указывает на необходимость работы над развитием этого аспекта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130B" w:rsidRDefault="001E130B" w:rsidP="00B701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50EB" w:rsidRDefault="003050EB" w:rsidP="003050EB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972050" cy="2276475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A35CF" w:rsidRPr="00911DA1" w:rsidRDefault="009A35CF" w:rsidP="009A35CF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FE2F64" w:rsidRPr="00FE2F64" w:rsidRDefault="00FE2F64" w:rsidP="00FE2F64">
      <w:pPr>
        <w:widowControl w:val="0"/>
        <w:spacing w:after="0" w:line="360" w:lineRule="auto"/>
        <w:jc w:val="both"/>
        <w:rPr>
          <w:rFonts w:ascii="Times New Roman" w:hAnsi="Times New Roman"/>
          <w:sz w:val="28"/>
        </w:rPr>
      </w:pPr>
      <w:r w:rsidRPr="00FE2F64">
        <w:rPr>
          <w:rFonts w:ascii="Times New Roman" w:hAnsi="Times New Roman"/>
          <w:sz w:val="28"/>
        </w:rPr>
        <w:t>Объединение «Синергия» показало высокую степень социальной активности (3), в то время как «Математический деликатес» продемонстрировал умеренную активность (2,6). Объединения «#ПРОСТОКОСМОС» и «Зеленый мир» также показали умеренную активность (2,8 и 2,7 соответственно), а «Движение Первых» — высокую (3).</w:t>
      </w:r>
    </w:p>
    <w:p w:rsidR="00911DA1" w:rsidRPr="00911DA1" w:rsidRDefault="00911DA1" w:rsidP="00911DA1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911DA1">
        <w:rPr>
          <w:rFonts w:ascii="Times New Roman" w:hAnsi="Times New Roman"/>
          <w:sz w:val="28"/>
        </w:rPr>
        <w:t xml:space="preserve">Исходя из этих данных, можно сделать вывод, что </w:t>
      </w:r>
      <w:r w:rsidR="009A35CF">
        <w:rPr>
          <w:rFonts w:ascii="Times New Roman" w:hAnsi="Times New Roman"/>
          <w:sz w:val="28"/>
        </w:rPr>
        <w:t xml:space="preserve">обучающиеся в объединениях «Синергия» </w:t>
      </w:r>
      <w:r w:rsidRPr="00911DA1">
        <w:rPr>
          <w:rFonts w:ascii="Times New Roman" w:hAnsi="Times New Roman"/>
          <w:sz w:val="28"/>
        </w:rPr>
        <w:t xml:space="preserve"> и </w:t>
      </w:r>
      <w:r w:rsidR="009A35CF">
        <w:rPr>
          <w:rFonts w:ascii="Times New Roman" w:hAnsi="Times New Roman"/>
          <w:sz w:val="28"/>
        </w:rPr>
        <w:t xml:space="preserve">«Движение Первых», </w:t>
      </w:r>
      <w:r w:rsidRPr="00911DA1">
        <w:rPr>
          <w:rFonts w:ascii="Times New Roman" w:hAnsi="Times New Roman"/>
          <w:sz w:val="28"/>
        </w:rPr>
        <w:t xml:space="preserve"> более активны социально, чем </w:t>
      </w:r>
      <w:r w:rsidR="009A35CF">
        <w:rPr>
          <w:rFonts w:ascii="Times New Roman" w:hAnsi="Times New Roman"/>
          <w:sz w:val="28"/>
        </w:rPr>
        <w:t>обучающие в объединениях «Математический деликатес»</w:t>
      </w:r>
      <w:r w:rsidRPr="00911DA1">
        <w:rPr>
          <w:rFonts w:ascii="Times New Roman" w:hAnsi="Times New Roman"/>
          <w:sz w:val="28"/>
        </w:rPr>
        <w:t>,</w:t>
      </w:r>
      <w:r w:rsidR="009A35CF">
        <w:rPr>
          <w:rFonts w:ascii="Times New Roman" w:hAnsi="Times New Roman"/>
          <w:sz w:val="28"/>
        </w:rPr>
        <w:t xml:space="preserve"> «ПРОСТОКОСМОС» и «Зеленый мир»</w:t>
      </w:r>
      <w:r w:rsidRPr="00911DA1">
        <w:rPr>
          <w:rFonts w:ascii="Times New Roman" w:hAnsi="Times New Roman"/>
          <w:sz w:val="28"/>
        </w:rPr>
        <w:t xml:space="preserve">. </w:t>
      </w:r>
      <w:proofErr w:type="gramStart"/>
      <w:r w:rsidRPr="00911DA1">
        <w:rPr>
          <w:rFonts w:ascii="Times New Roman" w:hAnsi="Times New Roman"/>
          <w:sz w:val="28"/>
        </w:rPr>
        <w:t xml:space="preserve">Возможно, это связано с различиями в целях и мотивациях </w:t>
      </w:r>
      <w:r w:rsidR="009A35CF">
        <w:rPr>
          <w:rFonts w:ascii="Times New Roman" w:hAnsi="Times New Roman"/>
          <w:sz w:val="28"/>
        </w:rPr>
        <w:t xml:space="preserve">у обучающих </w:t>
      </w:r>
      <w:r w:rsidRPr="00911DA1">
        <w:rPr>
          <w:rFonts w:ascii="Times New Roman" w:hAnsi="Times New Roman"/>
          <w:sz w:val="28"/>
        </w:rPr>
        <w:t>каждого объединения.</w:t>
      </w:r>
      <w:proofErr w:type="gramEnd"/>
    </w:p>
    <w:p w:rsidR="003050EB" w:rsidRDefault="003050EB" w:rsidP="003050EB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D35CE2" w:rsidRDefault="00D35CE2" w:rsidP="003050EB">
      <w:pPr>
        <w:widowControl w:val="0"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424189" cy="2752725"/>
            <wp:effectExtent l="0" t="0" r="508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86F40" w:rsidRDefault="00486F40" w:rsidP="00486F4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30B" w:rsidRDefault="009A35CF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Данные р</w:t>
      </w:r>
      <w:r w:rsidR="00911DA1" w:rsidRPr="00911DA1">
        <w:rPr>
          <w:rFonts w:ascii="Times New Roman" w:hAnsi="Times New Roman" w:cs="Times New Roman"/>
          <w:sz w:val="28"/>
          <w:szCs w:val="28"/>
        </w:rPr>
        <w:t>езультаты отражают уровень нравственности у каждого из пяти объединений. По результатам теста, у объединения</w:t>
      </w:r>
      <w:r>
        <w:rPr>
          <w:rFonts w:ascii="Times New Roman" w:hAnsi="Times New Roman" w:cs="Times New Roman"/>
          <w:sz w:val="28"/>
          <w:szCs w:val="28"/>
        </w:rPr>
        <w:t xml:space="preserve"> «синергия»</w:t>
      </w:r>
      <w:r w:rsidR="00911DA1" w:rsidRPr="00911DA1">
        <w:rPr>
          <w:rFonts w:ascii="Times New Roman" w:hAnsi="Times New Roman" w:cs="Times New Roman"/>
          <w:sz w:val="28"/>
          <w:szCs w:val="28"/>
        </w:rPr>
        <w:t xml:space="preserve"> нравственность составляет 2,8, что указывает на высокий уровень моральных ценностей </w:t>
      </w:r>
      <w:proofErr w:type="gramStart"/>
      <w:r w:rsidR="00911DA1" w:rsidRPr="00911DA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11DA1" w:rsidRPr="00911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911DA1" w:rsidRPr="00911DA1">
        <w:rPr>
          <w:rFonts w:ascii="Times New Roman" w:hAnsi="Times New Roman" w:cs="Times New Roman"/>
          <w:sz w:val="28"/>
          <w:szCs w:val="28"/>
        </w:rPr>
        <w:t xml:space="preserve">. У </w:t>
      </w:r>
      <w:r w:rsidRPr="009A35CF">
        <w:rPr>
          <w:rFonts w:ascii="Times New Roman" w:hAnsi="Times New Roman" w:cs="Times New Roman"/>
          <w:sz w:val="28"/>
          <w:szCs w:val="28"/>
        </w:rPr>
        <w:t>объединения «Математический деликатес», «ПРОСТОКОСМОС» и «Зеленый мир»</w:t>
      </w:r>
      <w:r w:rsidR="00911DA1" w:rsidRPr="00911DA1">
        <w:rPr>
          <w:rFonts w:ascii="Times New Roman" w:hAnsi="Times New Roman" w:cs="Times New Roman"/>
          <w:sz w:val="28"/>
          <w:szCs w:val="28"/>
        </w:rPr>
        <w:t xml:space="preserve"> результаты нравственности равны 2,6, 2,7 и 2,7 соответственно, что также свидетельствует о среднем и немного выше среднего уровне моральных принципов в данных группах. У </w:t>
      </w:r>
      <w:r>
        <w:rPr>
          <w:rFonts w:ascii="Times New Roman" w:hAnsi="Times New Roman" w:cs="Times New Roman"/>
          <w:sz w:val="28"/>
          <w:szCs w:val="28"/>
        </w:rPr>
        <w:t>объединения «Движение Первых»</w:t>
      </w:r>
      <w:r w:rsidR="00911DA1" w:rsidRPr="00911DA1">
        <w:rPr>
          <w:rFonts w:ascii="Times New Roman" w:hAnsi="Times New Roman" w:cs="Times New Roman"/>
          <w:sz w:val="28"/>
          <w:szCs w:val="28"/>
        </w:rPr>
        <w:t xml:space="preserve"> нравственность также составляет 2,8, что является высоким показателем моральных ценностей </w:t>
      </w:r>
      <w:proofErr w:type="gramStart"/>
      <w:r w:rsidR="00911DA1" w:rsidRPr="00911DA1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="00911DA1" w:rsidRPr="00911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911DA1" w:rsidRPr="00911DA1">
        <w:rPr>
          <w:rFonts w:ascii="Times New Roman" w:hAnsi="Times New Roman" w:cs="Times New Roman"/>
          <w:sz w:val="28"/>
          <w:szCs w:val="28"/>
        </w:rPr>
        <w:t>. В целом, все пять объединений проявляют определенный уровень нравственности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b/>
          <w:bCs/>
          <w:sz w:val="28"/>
          <w:szCs w:val="28"/>
        </w:rPr>
        <w:t>Анализ результатов деятельности объединений инновационной площадки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>Были проанализированы результаты работы объединений «Синергия», «Движение Первых», «Математический деликатес», «#ПРОСТОКОСМОС», «Зелёный мир».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b/>
          <w:bCs/>
          <w:sz w:val="28"/>
          <w:szCs w:val="28"/>
        </w:rPr>
        <w:t>Успехи и достижения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>Объединения «Синергия» и «Движение Первых» показали лучшие результаты во всех показателях. Объединение «Математический деликатес» проявило себя наиболее успешно в адаптивности и активности. «#ПРОСТОКОСМОС» — в активности и нравственности. «Зелёный мир» — в адаптивности и нравственности. Результаты объединения «Движение Первых» выделяются как наиболее сбалансированные по всем показателям.</w:t>
      </w:r>
    </w:p>
    <w:p w:rsidR="00FE2F64" w:rsidRDefault="00FE2F64" w:rsidP="001E130B">
      <w:pPr>
        <w:pStyle w:val="a5"/>
        <w:shd w:val="clear" w:color="auto" w:fill="FFFFFF"/>
        <w:spacing w:before="0" w:beforeAutospacing="0" w:after="0" w:afterAutospacing="0"/>
        <w:rPr>
          <w:rStyle w:val="a6"/>
          <w:rFonts w:ascii="Yandex Sans Text" w:hAnsi="Yandex Sans Text"/>
          <w:color w:val="000000"/>
        </w:rPr>
      </w:pP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 xml:space="preserve">Рекомендуется уделить внимание развитию автономности в объединениях «Зелёный мир» и «Математический деликатес». Для этого можно разработать программы, направленные на формирование навыков самостоятельного принятия решений и ответственности за свои действия. </w:t>
      </w:r>
      <w:r w:rsidRPr="00FE2F64">
        <w:rPr>
          <w:rFonts w:ascii="Times New Roman" w:hAnsi="Times New Roman" w:cs="Times New Roman"/>
          <w:sz w:val="28"/>
          <w:szCs w:val="28"/>
        </w:rPr>
        <w:lastRenderedPageBreak/>
        <w:t>Важно создать условия, в которых обучающиеся смогут проявлять инициативу и предлагать свои идеи.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>Повысить уровень активности в объединениях «Зелёного мира» и «Математического деликатеса» можно через организацию дополнительных мероприятий, таких как конкурсы, викторины, научные проекты и экспедиции. Эти мероприятия помогут стимулировать интерес к деятельности объединений и вовлечь в них как можно больше участников.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>Продолжить работу по укреплению нравственных ценностей во всех объединениях. Это можно сделать через проведение тематических бесед, встреч с интересными людьми, а также через участие в социальных проектах. Важно формировать у обучающихся понимание важности нравственных принципов и их применения в повседневной жизни.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b/>
          <w:bCs/>
          <w:sz w:val="28"/>
          <w:szCs w:val="28"/>
        </w:rPr>
        <w:t>Перспективы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>Использовать результаты исследования для корректировки образовательных программ и мероприятий в рамках инновационной площадки. На основе полученных данных можно разработать более эффективные образовательные программы, которые будут учитывать индивидуальные особенности и потребности обучающихся.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 xml:space="preserve">Организовать тренинги и семинары для развития личностных качеств обучающихся. Это могут быть тренинги по развитию коммуникативных навыков, лидерских качеств, креативности и других важных навыков. Такие мероприятия помогут обучающимся раскрыть свой потенциал и стать более </w:t>
      </w:r>
      <w:proofErr w:type="gramStart"/>
      <w:r w:rsidRPr="00FE2F64">
        <w:rPr>
          <w:rFonts w:ascii="Times New Roman" w:hAnsi="Times New Roman" w:cs="Times New Roman"/>
          <w:sz w:val="28"/>
          <w:szCs w:val="28"/>
        </w:rPr>
        <w:t>уверенными</w:t>
      </w:r>
      <w:proofErr w:type="gramEnd"/>
      <w:r w:rsidRPr="00FE2F64">
        <w:rPr>
          <w:rFonts w:ascii="Times New Roman" w:hAnsi="Times New Roman" w:cs="Times New Roman"/>
          <w:sz w:val="28"/>
          <w:szCs w:val="28"/>
        </w:rPr>
        <w:t xml:space="preserve"> в себе.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>Усилить взаимодействие между объединениями для обмена опытом и лучшими практиками. Это можно сделать через организацию совместных мероприятий, конференций, круглых столов и других форм взаимодействия. Такой обмен опытом позволит каждому объединению учиться на ошибках и достижениях других, а также находить новые подходы к решению задач.</w:t>
      </w:r>
    </w:p>
    <w:p w:rsidR="00FE2F64" w:rsidRPr="00FE2F64" w:rsidRDefault="00FE2F64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F64">
        <w:rPr>
          <w:rFonts w:ascii="Times New Roman" w:hAnsi="Times New Roman" w:cs="Times New Roman"/>
          <w:sz w:val="28"/>
          <w:szCs w:val="28"/>
        </w:rPr>
        <w:t xml:space="preserve">Таким образом, результаты исследования позволяют оценить эффективность работы объединений и определить направления для </w:t>
      </w:r>
      <w:r w:rsidRPr="00FE2F64">
        <w:rPr>
          <w:rFonts w:ascii="Times New Roman" w:hAnsi="Times New Roman" w:cs="Times New Roman"/>
          <w:sz w:val="28"/>
          <w:szCs w:val="28"/>
        </w:rPr>
        <w:lastRenderedPageBreak/>
        <w:t>дальнейшего развития. Это может включать в себя корректировку образовательных программ, организацию тренингов и семинаров, а также усиление взаимодействия между объединениями. Это позволит повысить эффективность работы объединений и обеспечить более гармоничное развитие обучающихся.</w:t>
      </w:r>
    </w:p>
    <w:p w:rsidR="001E130B" w:rsidRDefault="001E130B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21C" w:rsidRDefault="0075621C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21C" w:rsidRDefault="0075621C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21C" w:rsidRDefault="0075621C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21C" w:rsidRDefault="0075621C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21C" w:rsidRDefault="0075621C" w:rsidP="00874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621C" w:rsidRPr="00486F40" w:rsidRDefault="0075621C" w:rsidP="00B30A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621C" w:rsidRPr="00486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1083"/>
    <w:multiLevelType w:val="multilevel"/>
    <w:tmpl w:val="6220B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C45CBD"/>
    <w:multiLevelType w:val="multilevel"/>
    <w:tmpl w:val="379020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54B56039"/>
    <w:multiLevelType w:val="multilevel"/>
    <w:tmpl w:val="8E2E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22"/>
    <w:rsid w:val="00065EA4"/>
    <w:rsid w:val="000C6499"/>
    <w:rsid w:val="000C77EA"/>
    <w:rsid w:val="001131FF"/>
    <w:rsid w:val="001E130B"/>
    <w:rsid w:val="002E06DC"/>
    <w:rsid w:val="003050EB"/>
    <w:rsid w:val="003E46EA"/>
    <w:rsid w:val="003F3DCC"/>
    <w:rsid w:val="0046440D"/>
    <w:rsid w:val="00486F40"/>
    <w:rsid w:val="00597ABF"/>
    <w:rsid w:val="006F5FB2"/>
    <w:rsid w:val="007203F5"/>
    <w:rsid w:val="0075621C"/>
    <w:rsid w:val="00874ABE"/>
    <w:rsid w:val="00911DA1"/>
    <w:rsid w:val="00984FDE"/>
    <w:rsid w:val="009A35CF"/>
    <w:rsid w:val="009C6527"/>
    <w:rsid w:val="00A3469C"/>
    <w:rsid w:val="00AB6CF7"/>
    <w:rsid w:val="00B30AA1"/>
    <w:rsid w:val="00B70122"/>
    <w:rsid w:val="00BC5A82"/>
    <w:rsid w:val="00D35CE2"/>
    <w:rsid w:val="00D545D8"/>
    <w:rsid w:val="00D85C69"/>
    <w:rsid w:val="00E313A7"/>
    <w:rsid w:val="00E34B34"/>
    <w:rsid w:val="00EB4355"/>
    <w:rsid w:val="00FB0E66"/>
    <w:rsid w:val="00FC657E"/>
    <w:rsid w:val="00FE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5D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E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E13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5D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E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E13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8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6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4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>
            <a:alpha val="99000"/>
          </a:srgbClr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06"/>
          <c:y val="7.0175438596491224E-2"/>
          <c:w val="0.76675328083989502"/>
          <c:h val="0.7887364079490062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адаптив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Sheet1!$A$2:$A$6</c:f>
              <c:strCache>
                <c:ptCount val="5"/>
                <c:pt idx="0">
                  <c:v>Синергия</c:v>
                </c:pt>
                <c:pt idx="1">
                  <c:v>Мат деликатес</c:v>
                </c:pt>
                <c:pt idx="2">
                  <c:v>Простокосмос</c:v>
                </c:pt>
                <c:pt idx="3">
                  <c:v>Зеленый мир</c:v>
                </c:pt>
                <c:pt idx="4">
                  <c:v>Движение Первых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2.7</c:v>
                </c:pt>
                <c:pt idx="1">
                  <c:v>2.4</c:v>
                </c:pt>
                <c:pt idx="2">
                  <c:v>2.4</c:v>
                </c:pt>
                <c:pt idx="3">
                  <c:v>2.6</c:v>
                </c:pt>
                <c:pt idx="4">
                  <c:v>2.8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3286528"/>
        <c:axId val="23288064"/>
        <c:axId val="0"/>
      </c:bar3DChart>
      <c:catAx>
        <c:axId val="23286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Times New Roman" panose="02020603050405020304" pitchFamily="18" charset="0"/>
                <a:ea typeface="Calibri"/>
                <a:cs typeface="Calibri"/>
              </a:defRPr>
            </a:pPr>
            <a:endParaRPr lang="ru-RU"/>
          </a:p>
        </c:txPr>
        <c:crossAx val="232880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328806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328652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1341994750656166"/>
          <c:y val="0.26194181609651734"/>
          <c:w val="0.14835489313835767"/>
          <c:h val="0.36407199100112486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3314711359404099E-2"/>
          <c:y val="7.6271186440677971E-2"/>
          <c:w val="0.82867783985102417"/>
          <c:h val="0.7542372881355932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автоном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Sheet1!$A$2:$A$6</c:f>
              <c:strCache>
                <c:ptCount val="5"/>
                <c:pt idx="0">
                  <c:v>Синергия</c:v>
                </c:pt>
                <c:pt idx="1">
                  <c:v>Мат деликатес</c:v>
                </c:pt>
                <c:pt idx="2">
                  <c:v>Простокосмос</c:v>
                </c:pt>
                <c:pt idx="3">
                  <c:v>Зеленый мир</c:v>
                </c:pt>
                <c:pt idx="4">
                  <c:v>Движение Первых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2.6</c:v>
                </c:pt>
                <c:pt idx="1">
                  <c:v>2.7</c:v>
                </c:pt>
                <c:pt idx="2">
                  <c:v>2.6</c:v>
                </c:pt>
                <c:pt idx="3">
                  <c:v>2.5</c:v>
                </c:pt>
                <c:pt idx="4">
                  <c:v>2.7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84267776"/>
        <c:axId val="84269312"/>
        <c:axId val="0"/>
      </c:bar3DChart>
      <c:catAx>
        <c:axId val="84267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Times New Roman" panose="02020603050405020304" pitchFamily="18" charset="0"/>
                <a:ea typeface="Calibri"/>
                <a:cs typeface="Calibri"/>
              </a:defRPr>
            </a:pPr>
            <a:endParaRPr lang="ru-RU"/>
          </a:p>
        </c:txPr>
        <c:crossAx val="842693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426931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4267776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2716281122994906"/>
          <c:y val="0.26694915254237289"/>
          <c:w val="0.16538830269616664"/>
          <c:h val="0.4703389830508474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4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2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4453125E-2"/>
          <c:y val="7.4235807860262015E-2"/>
          <c:w val="0.826171875"/>
          <c:h val="0.7685589519650655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актив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Sheet1!$A$2:$A$6</c:f>
              <c:strCache>
                <c:ptCount val="5"/>
                <c:pt idx="0">
                  <c:v>Синергия</c:v>
                </c:pt>
                <c:pt idx="1">
                  <c:v>Мат деликатес</c:v>
                </c:pt>
                <c:pt idx="2">
                  <c:v>Простокосмос</c:v>
                </c:pt>
                <c:pt idx="3">
                  <c:v>Зеленый мир</c:v>
                </c:pt>
                <c:pt idx="4">
                  <c:v>Движение Превых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</c:v>
                </c:pt>
                <c:pt idx="1">
                  <c:v>2.6</c:v>
                </c:pt>
                <c:pt idx="2">
                  <c:v>2.8</c:v>
                </c:pt>
                <c:pt idx="3">
                  <c:v>2.7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91691264"/>
        <c:axId val="91693056"/>
        <c:axId val="0"/>
      </c:bar3DChart>
      <c:catAx>
        <c:axId val="91691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50" b="1" i="0" u="none" strike="noStrike" normalizeH="0" baseline="0">
                <a:solidFill>
                  <a:srgbClr val="000000"/>
                </a:solidFill>
                <a:latin typeface="Times New Roman" panose="02020603050405020304" pitchFamily="18" charset="0"/>
                <a:ea typeface="Calibri"/>
                <a:cs typeface="Calibri"/>
              </a:defRPr>
            </a:pPr>
            <a:endParaRPr lang="ru-RU"/>
          </a:p>
        </c:txPr>
        <c:crossAx val="916930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169305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1691264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84569805211130222"/>
          <c:y val="0.27074235807860264"/>
          <c:w val="0.1464892750475156"/>
          <c:h val="0.4628820960698690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4885496183206104E-2"/>
          <c:y val="7.662835249042145E-2"/>
          <c:w val="0.8225190839694656"/>
          <c:h val="0.7662835249042145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нравст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Sheet1!$A$2:$A$6</c:f>
              <c:strCache>
                <c:ptCount val="5"/>
                <c:pt idx="0">
                  <c:v>Синергия</c:v>
                </c:pt>
                <c:pt idx="1">
                  <c:v>Мат деликатес</c:v>
                </c:pt>
                <c:pt idx="2">
                  <c:v>Простокосмос</c:v>
                </c:pt>
                <c:pt idx="3">
                  <c:v>Зеленый мир</c:v>
                </c:pt>
                <c:pt idx="4">
                  <c:v>Движение Первых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2.8</c:v>
                </c:pt>
                <c:pt idx="1">
                  <c:v>2.6</c:v>
                </c:pt>
                <c:pt idx="2">
                  <c:v>2.7</c:v>
                </c:pt>
                <c:pt idx="3">
                  <c:v>2.7</c:v>
                </c:pt>
                <c:pt idx="4">
                  <c:v>2.8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91709440"/>
        <c:axId val="91710976"/>
        <c:axId val="0"/>
      </c:bar3DChart>
      <c:catAx>
        <c:axId val="917094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1" i="0" u="none" strike="noStrike" baseline="0">
                <a:solidFill>
                  <a:srgbClr val="000000"/>
                </a:solidFill>
                <a:latin typeface="Times New Roman" panose="02020603050405020304" pitchFamily="18" charset="0"/>
                <a:ea typeface="Calibri"/>
                <a:cs typeface="Calibri"/>
              </a:defRPr>
            </a:pPr>
            <a:endParaRPr lang="ru-RU"/>
          </a:p>
        </c:txPr>
        <c:crossAx val="917109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171097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1709440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8474714122949043"/>
          <c:y val="0.27969348659003829"/>
          <c:w val="0.14477625148179352"/>
          <c:h val="0.4444444444444444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5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Dasha</dc:creator>
  <cp:lastModifiedBy>Dasha</cp:lastModifiedBy>
  <cp:revision>2</cp:revision>
  <dcterms:created xsi:type="dcterms:W3CDTF">2024-12-23T05:53:00Z</dcterms:created>
  <dcterms:modified xsi:type="dcterms:W3CDTF">2024-12-23T05:53:00Z</dcterms:modified>
</cp:coreProperties>
</file>