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charts/chart11.xml" ContentType="application/vnd.openxmlformats-officedocument.drawingml.chart+xml"/>
  <Override PartName="/word/theme/themeOverride11.xml" ContentType="application/vnd.openxmlformats-officedocument.themeOverride+xml"/>
  <Override PartName="/word/charts/chart12.xml" ContentType="application/vnd.openxmlformats-officedocument.drawingml.chart+xml"/>
  <Override PartName="/word/theme/themeOverride12.xml" ContentType="application/vnd.openxmlformats-officedocument.themeOverride+xml"/>
  <Override PartName="/word/charts/chart13.xml" ContentType="application/vnd.openxmlformats-officedocument.drawingml.chart+xml"/>
  <Override PartName="/word/theme/themeOverride13.xml" ContentType="application/vnd.openxmlformats-officedocument.themeOverride+xml"/>
  <Override PartName="/word/charts/chart14.xml" ContentType="application/vnd.openxmlformats-officedocument.drawingml.chart+xml"/>
  <Override PartName="/word/theme/themeOverride14.xml" ContentType="application/vnd.openxmlformats-officedocument.themeOverride+xml"/>
  <Override PartName="/word/charts/chart15.xml" ContentType="application/vnd.openxmlformats-officedocument.drawingml.chart+xml"/>
  <Override PartName="/word/theme/themeOverride15.xml" ContentType="application/vnd.openxmlformats-officedocument.themeOverride+xml"/>
  <Override PartName="/word/charts/chart16.xml" ContentType="application/vnd.openxmlformats-officedocument.drawingml.chart+xml"/>
  <Override PartName="/word/theme/themeOverride16.xml" ContentType="application/vnd.openxmlformats-officedocument.themeOverride+xml"/>
  <Override PartName="/word/charts/chart17.xml" ContentType="application/vnd.openxmlformats-officedocument.drawingml.chart+xml"/>
  <Override PartName="/word/theme/themeOverride17.xml" ContentType="application/vnd.openxmlformats-officedocument.themeOverride+xml"/>
  <Override PartName="/word/charts/chart18.xml" ContentType="application/vnd.openxmlformats-officedocument.drawingml.chart+xml"/>
  <Override PartName="/word/theme/themeOverride18.xml" ContentType="application/vnd.openxmlformats-officedocument.themeOverride+xml"/>
  <Override PartName="/word/charts/chart19.xml" ContentType="application/vnd.openxmlformats-officedocument.drawingml.chart+xml"/>
  <Override PartName="/word/theme/themeOverride19.xml" ContentType="application/vnd.openxmlformats-officedocument.themeOverride+xml"/>
  <Override PartName="/word/drawings/drawing2.xml" ContentType="application/vnd.openxmlformats-officedocument.drawingml.chartshapes+xml"/>
  <Override PartName="/word/charts/chart20.xml" ContentType="application/vnd.openxmlformats-officedocument.drawingml.chart+xml"/>
  <Override PartName="/word/theme/themeOverride20.xml" ContentType="application/vnd.openxmlformats-officedocument.themeOverride+xml"/>
  <Override PartName="/word/charts/chart21.xml" ContentType="application/vnd.openxmlformats-officedocument.drawingml.chart+xml"/>
  <Override PartName="/word/theme/themeOverride21.xml" ContentType="application/vnd.openxmlformats-officedocument.themeOverride+xml"/>
  <Override PartName="/word/charts/chart22.xml" ContentType="application/vnd.openxmlformats-officedocument.drawingml.chart+xml"/>
  <Override PartName="/word/theme/themeOverride22.xml" ContentType="application/vnd.openxmlformats-officedocument.themeOverride+xml"/>
  <Override PartName="/word/charts/chart23.xml" ContentType="application/vnd.openxmlformats-officedocument.drawingml.chart+xml"/>
  <Override PartName="/word/theme/themeOverride23.xml" ContentType="application/vnd.openxmlformats-officedocument.themeOverride+xml"/>
  <Override PartName="/word/charts/chart24.xml" ContentType="application/vnd.openxmlformats-officedocument.drawingml.chart+xml"/>
  <Override PartName="/word/theme/themeOverride24.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700" w:rsidRPr="002803A6" w:rsidRDefault="00A56700" w:rsidP="00A56700">
      <w:pPr>
        <w:spacing w:after="0"/>
        <w:jc w:val="center"/>
        <w:rPr>
          <w:rFonts w:ascii="Times New Roman" w:eastAsia="Times New Roman" w:hAnsi="Times New Roman" w:cs="Times New Roman"/>
          <w:b/>
          <w:color w:val="660066"/>
          <w:sz w:val="28"/>
          <w:szCs w:val="28"/>
        </w:rPr>
      </w:pPr>
      <w:r w:rsidRPr="002803A6">
        <w:rPr>
          <w:rFonts w:ascii="Times New Roman" w:hAnsi="Times New Roman"/>
          <w:b/>
          <w:color w:val="660066"/>
          <w:sz w:val="28"/>
          <w:szCs w:val="28"/>
        </w:rPr>
        <w:t>Р</w:t>
      </w:r>
      <w:r w:rsidRPr="002803A6">
        <w:rPr>
          <w:rFonts w:ascii="Times New Roman" w:eastAsia="Times New Roman" w:hAnsi="Times New Roman" w:cs="Times New Roman"/>
          <w:b/>
          <w:color w:val="660066"/>
          <w:sz w:val="28"/>
          <w:szCs w:val="28"/>
        </w:rPr>
        <w:t>егиональн</w:t>
      </w:r>
      <w:r w:rsidRPr="002803A6">
        <w:rPr>
          <w:rFonts w:ascii="Times New Roman" w:hAnsi="Times New Roman"/>
          <w:b/>
          <w:color w:val="660066"/>
          <w:sz w:val="28"/>
          <w:szCs w:val="28"/>
        </w:rPr>
        <w:t>ая студенческая</w:t>
      </w:r>
      <w:r w:rsidRPr="002803A6">
        <w:rPr>
          <w:rFonts w:ascii="Times New Roman" w:eastAsia="Times New Roman" w:hAnsi="Times New Roman" w:cs="Times New Roman"/>
          <w:b/>
          <w:color w:val="660066"/>
          <w:sz w:val="28"/>
          <w:szCs w:val="28"/>
        </w:rPr>
        <w:t xml:space="preserve"> научно-практическ</w:t>
      </w:r>
      <w:r w:rsidRPr="002803A6">
        <w:rPr>
          <w:rFonts w:ascii="Times New Roman" w:hAnsi="Times New Roman"/>
          <w:b/>
          <w:color w:val="660066"/>
          <w:sz w:val="28"/>
          <w:szCs w:val="28"/>
        </w:rPr>
        <w:t>ая</w:t>
      </w:r>
      <w:r w:rsidRPr="002803A6">
        <w:rPr>
          <w:rFonts w:ascii="Times New Roman" w:eastAsia="Times New Roman" w:hAnsi="Times New Roman" w:cs="Times New Roman"/>
          <w:b/>
          <w:color w:val="660066"/>
          <w:sz w:val="28"/>
          <w:szCs w:val="28"/>
        </w:rPr>
        <w:t xml:space="preserve"> конференци</w:t>
      </w:r>
      <w:r w:rsidRPr="002803A6">
        <w:rPr>
          <w:rFonts w:ascii="Times New Roman" w:hAnsi="Times New Roman"/>
          <w:b/>
          <w:color w:val="660066"/>
          <w:sz w:val="28"/>
          <w:szCs w:val="28"/>
        </w:rPr>
        <w:t>я</w:t>
      </w:r>
    </w:p>
    <w:p w:rsidR="00A56700" w:rsidRPr="002803A6" w:rsidRDefault="00A56700" w:rsidP="00A56700">
      <w:pPr>
        <w:spacing w:after="0"/>
        <w:jc w:val="center"/>
        <w:rPr>
          <w:rFonts w:ascii="Times New Roman" w:hAnsi="Times New Roman"/>
          <w:b/>
          <w:color w:val="660066"/>
          <w:sz w:val="28"/>
          <w:szCs w:val="28"/>
        </w:rPr>
      </w:pPr>
      <w:r w:rsidRPr="002803A6">
        <w:rPr>
          <w:rFonts w:ascii="Times New Roman" w:eastAsia="Times New Roman" w:hAnsi="Times New Roman" w:cs="Times New Roman"/>
          <w:b/>
          <w:color w:val="660066"/>
          <w:sz w:val="28"/>
          <w:szCs w:val="28"/>
        </w:rPr>
        <w:t>«МОЛОДЫЕ НЕФТЯНИКИ»</w:t>
      </w:r>
    </w:p>
    <w:p w:rsidR="00507147" w:rsidRPr="002803A6" w:rsidRDefault="00507147" w:rsidP="00A56700">
      <w:pPr>
        <w:spacing w:after="0"/>
        <w:jc w:val="center"/>
        <w:rPr>
          <w:rFonts w:ascii="Times New Roman" w:hAnsi="Times New Roman"/>
          <w:b/>
          <w:color w:val="660066"/>
          <w:sz w:val="28"/>
          <w:szCs w:val="28"/>
        </w:rPr>
      </w:pPr>
    </w:p>
    <w:p w:rsidR="00507147" w:rsidRPr="002803A6" w:rsidRDefault="003E107A" w:rsidP="005C0D21">
      <w:pPr>
        <w:tabs>
          <w:tab w:val="left" w:pos="1276"/>
        </w:tabs>
        <w:spacing w:after="0" w:line="240" w:lineRule="auto"/>
        <w:jc w:val="center"/>
        <w:rPr>
          <w:rFonts w:ascii="Times New Roman" w:eastAsia="Times New Roman" w:hAnsi="Times New Roman" w:cs="Times New Roman"/>
          <w:b/>
          <w:color w:val="660066"/>
          <w:sz w:val="28"/>
          <w:szCs w:val="28"/>
        </w:rPr>
      </w:pPr>
      <w:r w:rsidRPr="002803A6">
        <w:rPr>
          <w:rFonts w:ascii="Times New Roman" w:eastAsia="Times New Roman" w:hAnsi="Times New Roman" w:cs="Times New Roman"/>
          <w:b/>
          <w:color w:val="660066"/>
          <w:sz w:val="28"/>
          <w:szCs w:val="28"/>
        </w:rPr>
        <w:t>Секция</w:t>
      </w:r>
      <w:r w:rsidR="00507147" w:rsidRPr="002803A6">
        <w:rPr>
          <w:rFonts w:ascii="Times New Roman" w:eastAsia="Times New Roman" w:hAnsi="Times New Roman" w:cs="Times New Roman"/>
          <w:b/>
          <w:color w:val="660066"/>
          <w:sz w:val="28"/>
          <w:szCs w:val="28"/>
        </w:rPr>
        <w:tab/>
        <w:t>«Проектно-исследовательская деятельность школьников»</w:t>
      </w:r>
    </w:p>
    <w:p w:rsidR="00507147" w:rsidRPr="002803A6" w:rsidRDefault="00507147" w:rsidP="00A56700">
      <w:pPr>
        <w:spacing w:after="0"/>
        <w:jc w:val="center"/>
        <w:rPr>
          <w:rFonts w:ascii="Times New Roman" w:eastAsia="Times New Roman" w:hAnsi="Times New Roman" w:cs="Times New Roman"/>
          <w:b/>
          <w:color w:val="660066"/>
          <w:sz w:val="28"/>
          <w:szCs w:val="28"/>
        </w:rPr>
      </w:pPr>
    </w:p>
    <w:p w:rsidR="00A56700" w:rsidRPr="002803A6" w:rsidRDefault="00396C5F" w:rsidP="00EF5A2B">
      <w:pPr>
        <w:jc w:val="center"/>
        <w:rPr>
          <w:color w:val="660066"/>
        </w:rPr>
      </w:pPr>
      <w:r w:rsidRPr="002803A6">
        <w:rPr>
          <w:noProof/>
          <w:color w:val="660066"/>
        </w:rPr>
        <w:drawing>
          <wp:inline distT="0" distB="0" distL="0" distR="0">
            <wp:extent cx="5334000" cy="3049241"/>
            <wp:effectExtent l="19050" t="0" r="0" b="0"/>
            <wp:docPr id="1" name="Рисунок 1" descr="ÐÐ¾ÑÑÐ¾Ð·Ð¸Ñ ÑÑÑÐ±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Ð¾ÑÑÐ¾Ð·Ð¸Ñ ÑÑÑÐ±Ñ"/>
                    <pic:cNvPicPr>
                      <a:picLocks noChangeAspect="1" noChangeArrowheads="1"/>
                    </pic:cNvPicPr>
                  </pic:nvPicPr>
                  <pic:blipFill>
                    <a:blip r:embed="rId8"/>
                    <a:srcRect/>
                    <a:stretch>
                      <a:fillRect/>
                    </a:stretch>
                  </pic:blipFill>
                  <pic:spPr bwMode="auto">
                    <a:xfrm>
                      <a:off x="0" y="0"/>
                      <a:ext cx="5334000" cy="3049241"/>
                    </a:xfrm>
                    <a:prstGeom prst="rect">
                      <a:avLst/>
                    </a:prstGeom>
                    <a:noFill/>
                    <a:ln w="9525">
                      <a:noFill/>
                      <a:miter lim="800000"/>
                      <a:headEnd/>
                      <a:tailEnd/>
                    </a:ln>
                  </pic:spPr>
                </pic:pic>
              </a:graphicData>
            </a:graphic>
          </wp:inline>
        </w:drawing>
      </w:r>
    </w:p>
    <w:p w:rsidR="00334656" w:rsidRPr="002803A6" w:rsidRDefault="00334656">
      <w:pPr>
        <w:rPr>
          <w:color w:val="660066"/>
        </w:rPr>
      </w:pPr>
    </w:p>
    <w:p w:rsidR="00334656" w:rsidRPr="002803A6" w:rsidRDefault="00334656" w:rsidP="00334656">
      <w:pPr>
        <w:spacing w:after="0" w:line="240" w:lineRule="auto"/>
        <w:jc w:val="center"/>
        <w:rPr>
          <w:rFonts w:ascii="Times New Roman" w:eastAsia="Calibri" w:hAnsi="Times New Roman"/>
          <w:b/>
          <w:color w:val="660066"/>
          <w:sz w:val="32"/>
          <w:szCs w:val="32"/>
          <w:lang w:eastAsia="en-US"/>
        </w:rPr>
      </w:pPr>
      <w:r w:rsidRPr="002803A6">
        <w:rPr>
          <w:rFonts w:ascii="Times New Roman" w:eastAsia="Calibri" w:hAnsi="Times New Roman"/>
          <w:b/>
          <w:color w:val="660066"/>
          <w:sz w:val="32"/>
          <w:szCs w:val="32"/>
          <w:lang w:eastAsia="en-US"/>
        </w:rPr>
        <w:t xml:space="preserve">Научно- исследовательская работа на тему: </w:t>
      </w:r>
    </w:p>
    <w:p w:rsidR="00334656" w:rsidRPr="002803A6" w:rsidRDefault="00334656" w:rsidP="00334656">
      <w:pPr>
        <w:spacing w:after="0" w:line="240" w:lineRule="auto"/>
        <w:jc w:val="center"/>
        <w:rPr>
          <w:rFonts w:ascii="Times New Roman" w:hAnsi="Times New Roman"/>
          <w:b/>
          <w:color w:val="990000"/>
          <w:sz w:val="48"/>
          <w:szCs w:val="48"/>
          <w:lang w:val="en-US"/>
        </w:rPr>
      </w:pPr>
      <w:r w:rsidRPr="002803A6">
        <w:rPr>
          <w:rFonts w:ascii="Times New Roman" w:hAnsi="Times New Roman"/>
          <w:b/>
          <w:color w:val="990000"/>
          <w:sz w:val="48"/>
          <w:szCs w:val="48"/>
        </w:rPr>
        <w:t>Коррозия</w:t>
      </w:r>
      <w:r w:rsidR="004F0FC9">
        <w:rPr>
          <w:rFonts w:ascii="Times New Roman" w:hAnsi="Times New Roman"/>
          <w:b/>
          <w:color w:val="990000"/>
          <w:sz w:val="48"/>
          <w:szCs w:val="48"/>
        </w:rPr>
        <w:t xml:space="preserve"> </w:t>
      </w:r>
      <w:r w:rsidRPr="002803A6">
        <w:rPr>
          <w:rFonts w:ascii="Times New Roman" w:hAnsi="Times New Roman"/>
          <w:b/>
          <w:color w:val="990000"/>
          <w:sz w:val="48"/>
          <w:szCs w:val="48"/>
        </w:rPr>
        <w:t>трубопроводов</w:t>
      </w:r>
      <w:r w:rsidR="004F0FC9">
        <w:rPr>
          <w:rFonts w:ascii="Times New Roman" w:hAnsi="Times New Roman"/>
          <w:b/>
          <w:color w:val="990000"/>
          <w:sz w:val="48"/>
          <w:szCs w:val="48"/>
        </w:rPr>
        <w:t xml:space="preserve"> </w:t>
      </w:r>
      <w:r w:rsidRPr="002803A6">
        <w:rPr>
          <w:rFonts w:ascii="Times New Roman" w:hAnsi="Times New Roman"/>
          <w:b/>
          <w:color w:val="990000"/>
          <w:sz w:val="48"/>
          <w:szCs w:val="48"/>
        </w:rPr>
        <w:t>при</w:t>
      </w:r>
      <w:r w:rsidR="004F0FC9">
        <w:rPr>
          <w:rFonts w:ascii="Times New Roman" w:hAnsi="Times New Roman"/>
          <w:b/>
          <w:color w:val="990000"/>
          <w:sz w:val="48"/>
          <w:szCs w:val="48"/>
        </w:rPr>
        <w:t xml:space="preserve"> </w:t>
      </w:r>
      <w:r w:rsidRPr="002803A6">
        <w:rPr>
          <w:rFonts w:ascii="Times New Roman" w:hAnsi="Times New Roman"/>
          <w:b/>
          <w:color w:val="990000"/>
          <w:sz w:val="48"/>
          <w:szCs w:val="48"/>
        </w:rPr>
        <w:t>добыче</w:t>
      </w:r>
      <w:r w:rsidR="004F0FC9">
        <w:rPr>
          <w:rFonts w:ascii="Times New Roman" w:hAnsi="Times New Roman"/>
          <w:b/>
          <w:color w:val="990000"/>
          <w:sz w:val="48"/>
          <w:szCs w:val="48"/>
        </w:rPr>
        <w:t xml:space="preserve"> </w:t>
      </w:r>
      <w:bookmarkStart w:id="0" w:name="_GoBack"/>
      <w:bookmarkEnd w:id="0"/>
      <w:r w:rsidRPr="002803A6">
        <w:rPr>
          <w:rFonts w:ascii="Times New Roman" w:hAnsi="Times New Roman"/>
          <w:b/>
          <w:color w:val="990000"/>
          <w:sz w:val="48"/>
          <w:szCs w:val="48"/>
        </w:rPr>
        <w:t>нефти</w:t>
      </w:r>
    </w:p>
    <w:p w:rsidR="009C63D5" w:rsidRPr="002803A6" w:rsidRDefault="009C63D5" w:rsidP="009C63D5">
      <w:pPr>
        <w:pStyle w:val="11"/>
        <w:jc w:val="center"/>
        <w:rPr>
          <w:rFonts w:ascii="Arial" w:eastAsia="Calibri" w:hAnsi="Arial" w:cs="Arial"/>
          <w:b/>
          <w:color w:val="990000"/>
          <w:sz w:val="32"/>
          <w:szCs w:val="32"/>
          <w:lang w:val="en-US" w:eastAsia="en-US"/>
        </w:rPr>
      </w:pPr>
      <w:r w:rsidRPr="002803A6">
        <w:rPr>
          <w:rFonts w:ascii="Arial" w:eastAsia="Calibri" w:hAnsi="Arial" w:cs="Arial"/>
          <w:b/>
          <w:color w:val="990000"/>
          <w:sz w:val="32"/>
          <w:szCs w:val="32"/>
          <w:lang w:val="en-US" w:eastAsia="en-US"/>
        </w:rPr>
        <w:t>Corrosion of pipelines during oil production</w:t>
      </w:r>
    </w:p>
    <w:p w:rsidR="009C63D5" w:rsidRPr="002803A6" w:rsidRDefault="009C63D5" w:rsidP="00334656">
      <w:pPr>
        <w:spacing w:after="0" w:line="240" w:lineRule="auto"/>
        <w:jc w:val="center"/>
        <w:rPr>
          <w:rFonts w:ascii="Times New Roman" w:eastAsia="Calibri" w:hAnsi="Times New Roman"/>
          <w:b/>
          <w:color w:val="990000"/>
          <w:sz w:val="48"/>
          <w:szCs w:val="4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632423" w:themeColor="accent2" w:themeShade="8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sectPr w:rsidR="00334656" w:rsidRPr="002803A6" w:rsidSect="003E2B8F">
          <w:footerReference w:type="default" r:id="rId9"/>
          <w:pgSz w:w="11906" w:h="16838"/>
          <w:pgMar w:top="1134" w:right="567" w:bottom="1134" w:left="1134" w:header="708" w:footer="708" w:gutter="0"/>
          <w:cols w:space="708"/>
          <w:titlePg/>
          <w:docGrid w:linePitch="360"/>
        </w:sect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jc w:val="right"/>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rPr>
          <w:rFonts w:ascii="Times New Roman" w:eastAsia="Calibri" w:hAnsi="Times New Roman"/>
          <w:b/>
          <w:color w:val="990000"/>
          <w:sz w:val="28"/>
          <w:szCs w:val="28"/>
          <w:lang w:val="en-US" w:eastAsia="en-US"/>
        </w:rPr>
      </w:pPr>
    </w:p>
    <w:p w:rsidR="00334656" w:rsidRPr="002803A6" w:rsidRDefault="00334656" w:rsidP="00334656">
      <w:pPr>
        <w:tabs>
          <w:tab w:val="left" w:pos="1320"/>
        </w:tabs>
        <w:spacing w:after="0" w:line="240" w:lineRule="auto"/>
        <w:rPr>
          <w:rFonts w:ascii="Times New Roman" w:eastAsia="Calibri" w:hAnsi="Times New Roman"/>
          <w:b/>
          <w:color w:val="990000"/>
          <w:sz w:val="28"/>
          <w:szCs w:val="28"/>
          <w:lang w:val="en-US" w:eastAsia="en-US"/>
        </w:rPr>
      </w:pPr>
    </w:p>
    <w:p w:rsidR="009C63D5" w:rsidRPr="002803A6" w:rsidRDefault="009C63D5" w:rsidP="00334656">
      <w:pPr>
        <w:tabs>
          <w:tab w:val="left" w:pos="1320"/>
        </w:tabs>
        <w:spacing w:after="0" w:line="240" w:lineRule="auto"/>
        <w:rPr>
          <w:rFonts w:ascii="Times New Roman" w:eastAsia="Calibri" w:hAnsi="Times New Roman"/>
          <w:b/>
          <w:color w:val="990000"/>
          <w:sz w:val="28"/>
          <w:szCs w:val="28"/>
          <w:lang w:val="en-US" w:eastAsia="en-US"/>
        </w:rPr>
      </w:pPr>
    </w:p>
    <w:p w:rsidR="00EF5A2B" w:rsidRPr="002803A6" w:rsidRDefault="00EF5A2B" w:rsidP="00334656">
      <w:pPr>
        <w:tabs>
          <w:tab w:val="left" w:pos="1320"/>
        </w:tabs>
        <w:spacing w:after="0" w:line="240" w:lineRule="auto"/>
        <w:rPr>
          <w:rFonts w:ascii="Times New Roman" w:eastAsia="Calibri" w:hAnsi="Times New Roman"/>
          <w:b/>
          <w:color w:val="990000"/>
          <w:sz w:val="28"/>
          <w:szCs w:val="28"/>
          <w:lang w:val="en-US" w:eastAsia="en-US"/>
        </w:rPr>
      </w:pPr>
    </w:p>
    <w:p w:rsidR="00EF5A2B" w:rsidRPr="002803A6" w:rsidRDefault="00EF5A2B" w:rsidP="00334656">
      <w:pPr>
        <w:tabs>
          <w:tab w:val="left" w:pos="1320"/>
        </w:tabs>
        <w:spacing w:after="0" w:line="240" w:lineRule="auto"/>
        <w:rPr>
          <w:rFonts w:ascii="Times New Roman" w:eastAsia="Calibri" w:hAnsi="Times New Roman"/>
          <w:b/>
          <w:color w:val="990000"/>
          <w:sz w:val="28"/>
          <w:szCs w:val="28"/>
          <w:lang w:val="en-US" w:eastAsia="en-US"/>
        </w:rPr>
      </w:pPr>
    </w:p>
    <w:p w:rsidR="00334656" w:rsidRPr="007A4248" w:rsidRDefault="009C63D5"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Баянов Данил Ильгамович</w:t>
      </w:r>
      <w:r w:rsidR="00334656" w:rsidRPr="007A4248">
        <w:rPr>
          <w:rFonts w:ascii="Times New Roman" w:eastAsia="Calibri" w:hAnsi="Times New Roman"/>
          <w:b/>
          <w:color w:val="4C0026"/>
          <w:sz w:val="28"/>
          <w:szCs w:val="28"/>
          <w:lang w:eastAsia="en-US"/>
        </w:rPr>
        <w:t xml:space="preserve">, </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ученик 10-б  класса</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 xml:space="preserve">МБОУ "Джалильская средняя </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 xml:space="preserve">общеобразовательная школа  №2" </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 xml:space="preserve">Сармановского  района </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Республики Татарстан</w:t>
      </w:r>
    </w:p>
    <w:p w:rsidR="00334656" w:rsidRPr="007A4248" w:rsidRDefault="00334656" w:rsidP="00334656">
      <w:pPr>
        <w:tabs>
          <w:tab w:val="left" w:pos="1320"/>
        </w:tabs>
        <w:spacing w:after="0" w:line="240" w:lineRule="auto"/>
        <w:rPr>
          <w:rFonts w:ascii="Times New Roman" w:eastAsia="Calibri" w:hAnsi="Times New Roman"/>
          <w:b/>
          <w:color w:val="4C0026"/>
          <w:sz w:val="28"/>
          <w:szCs w:val="28"/>
          <w:lang w:eastAsia="en-US"/>
        </w:rPr>
      </w:pPr>
      <w:r w:rsidRPr="007A4248">
        <w:rPr>
          <w:rFonts w:ascii="Times New Roman" w:eastAsia="Calibri" w:hAnsi="Times New Roman"/>
          <w:b/>
          <w:color w:val="4C0026"/>
          <w:sz w:val="28"/>
          <w:szCs w:val="28"/>
          <w:lang w:eastAsia="en-US"/>
        </w:rPr>
        <w:t xml:space="preserve"> Руководитель:   учитель </w:t>
      </w:r>
    </w:p>
    <w:p w:rsidR="009C63D5" w:rsidRPr="007A4248" w:rsidRDefault="002953E2" w:rsidP="00334656">
      <w:pPr>
        <w:tabs>
          <w:tab w:val="left" w:pos="1320"/>
        </w:tabs>
        <w:spacing w:after="0" w:line="240" w:lineRule="auto"/>
        <w:rPr>
          <w:rFonts w:ascii="Times New Roman" w:eastAsia="Calibri" w:hAnsi="Times New Roman"/>
          <w:b/>
          <w:color w:val="4C0026"/>
          <w:sz w:val="28"/>
          <w:szCs w:val="28"/>
          <w:lang w:eastAsia="en-US"/>
        </w:rPr>
      </w:pPr>
      <w:r>
        <w:rPr>
          <w:rFonts w:ascii="Times New Roman" w:eastAsia="Calibri" w:hAnsi="Times New Roman"/>
          <w:b/>
          <w:color w:val="4C0026"/>
          <w:sz w:val="28"/>
          <w:szCs w:val="28"/>
          <w:lang w:eastAsia="en-US"/>
        </w:rPr>
        <w:t>химии</w:t>
      </w:r>
      <w:r w:rsidR="00334656" w:rsidRPr="007A4248">
        <w:rPr>
          <w:rFonts w:ascii="Times New Roman" w:eastAsia="Calibri" w:hAnsi="Times New Roman"/>
          <w:b/>
          <w:color w:val="4C0026"/>
          <w:sz w:val="28"/>
          <w:szCs w:val="28"/>
          <w:lang w:eastAsia="en-US"/>
        </w:rPr>
        <w:t xml:space="preserve"> </w:t>
      </w:r>
      <w:r w:rsidR="009C63D5" w:rsidRPr="007A4248">
        <w:rPr>
          <w:rFonts w:ascii="Times New Roman" w:eastAsia="Calibri" w:hAnsi="Times New Roman"/>
          <w:b/>
          <w:color w:val="4C0026"/>
          <w:sz w:val="28"/>
          <w:szCs w:val="28"/>
          <w:lang w:eastAsia="en-US"/>
        </w:rPr>
        <w:t>высшей квалификационной категории</w:t>
      </w:r>
    </w:p>
    <w:p w:rsidR="00334656" w:rsidRPr="002803A6" w:rsidRDefault="002953E2" w:rsidP="00334656">
      <w:pPr>
        <w:tabs>
          <w:tab w:val="left" w:pos="1320"/>
        </w:tabs>
        <w:spacing w:after="0" w:line="240" w:lineRule="auto"/>
        <w:rPr>
          <w:rFonts w:ascii="Times New Roman" w:eastAsia="Calibri" w:hAnsi="Times New Roman"/>
          <w:b/>
          <w:color w:val="660066"/>
          <w:sz w:val="28"/>
          <w:szCs w:val="28"/>
          <w:lang w:eastAsia="en-US"/>
        </w:rPr>
      </w:pPr>
      <w:r>
        <w:rPr>
          <w:rFonts w:ascii="Times New Roman" w:eastAsia="Calibri" w:hAnsi="Times New Roman"/>
          <w:b/>
          <w:color w:val="4C0026"/>
          <w:sz w:val="28"/>
          <w:szCs w:val="28"/>
          <w:lang w:eastAsia="en-US"/>
        </w:rPr>
        <w:t>Л.Р. Талипова</w:t>
      </w:r>
    </w:p>
    <w:p w:rsidR="00334656" w:rsidRPr="002803A6" w:rsidRDefault="00334656" w:rsidP="00334656">
      <w:pPr>
        <w:spacing w:after="0" w:line="240" w:lineRule="auto"/>
        <w:ind w:left="283" w:right="170"/>
        <w:jc w:val="right"/>
        <w:rPr>
          <w:rFonts w:ascii="Times New Roman" w:eastAsia="Calibri" w:hAnsi="Times New Roman"/>
          <w:b/>
          <w:color w:val="660066"/>
          <w:sz w:val="28"/>
          <w:szCs w:val="28"/>
          <w:lang w:eastAsia="en-US"/>
        </w:rPr>
      </w:pPr>
    </w:p>
    <w:p w:rsidR="00334656" w:rsidRPr="002803A6" w:rsidRDefault="00334656" w:rsidP="00334656">
      <w:pPr>
        <w:spacing w:after="0" w:line="240" w:lineRule="auto"/>
        <w:ind w:left="283" w:right="170"/>
        <w:jc w:val="right"/>
        <w:rPr>
          <w:rFonts w:ascii="Times New Roman" w:eastAsia="Calibri" w:hAnsi="Times New Roman"/>
          <w:b/>
          <w:color w:val="660066"/>
          <w:sz w:val="28"/>
          <w:szCs w:val="28"/>
          <w:lang w:eastAsia="en-US"/>
        </w:rPr>
      </w:pPr>
    </w:p>
    <w:p w:rsidR="00334656" w:rsidRPr="002803A6" w:rsidRDefault="00334656" w:rsidP="00334656">
      <w:pPr>
        <w:spacing w:after="0" w:line="240" w:lineRule="auto"/>
        <w:ind w:left="283" w:right="170"/>
        <w:rPr>
          <w:rFonts w:ascii="Times New Roman" w:eastAsia="Calibri" w:hAnsi="Times New Roman"/>
          <w:b/>
          <w:color w:val="660066"/>
          <w:sz w:val="28"/>
          <w:szCs w:val="28"/>
          <w:lang w:eastAsia="en-US"/>
        </w:rPr>
        <w:sectPr w:rsidR="00334656" w:rsidRPr="002803A6" w:rsidSect="003E2B8F">
          <w:type w:val="continuous"/>
          <w:pgSz w:w="11906" w:h="16838"/>
          <w:pgMar w:top="1134" w:right="567" w:bottom="1134" w:left="1134" w:header="708" w:footer="708" w:gutter="0"/>
          <w:cols w:num="2" w:space="708"/>
          <w:docGrid w:linePitch="360"/>
        </w:sectPr>
      </w:pPr>
    </w:p>
    <w:p w:rsidR="00EF5A2B" w:rsidRPr="002803A6" w:rsidRDefault="00EF5A2B" w:rsidP="00334656">
      <w:pPr>
        <w:spacing w:after="0" w:line="240" w:lineRule="auto"/>
        <w:ind w:left="283" w:right="170"/>
        <w:jc w:val="center"/>
        <w:rPr>
          <w:rFonts w:ascii="Times New Roman" w:eastAsia="Calibri" w:hAnsi="Times New Roman"/>
          <w:b/>
          <w:color w:val="660066"/>
          <w:sz w:val="28"/>
          <w:szCs w:val="28"/>
          <w:lang w:eastAsia="en-US"/>
        </w:rPr>
      </w:pPr>
    </w:p>
    <w:p w:rsidR="00334656" w:rsidRPr="002803A6" w:rsidRDefault="00334656" w:rsidP="00334656">
      <w:pPr>
        <w:spacing w:after="0" w:line="240" w:lineRule="auto"/>
        <w:ind w:left="283" w:right="170"/>
        <w:jc w:val="center"/>
        <w:rPr>
          <w:rFonts w:ascii="Times New Roman" w:eastAsia="Calibri" w:hAnsi="Times New Roman"/>
          <w:b/>
          <w:color w:val="660066"/>
          <w:sz w:val="28"/>
          <w:szCs w:val="28"/>
          <w:lang w:eastAsia="en-US"/>
        </w:rPr>
        <w:sectPr w:rsidR="00334656" w:rsidRPr="002803A6" w:rsidSect="003E2B8F">
          <w:type w:val="continuous"/>
          <w:pgSz w:w="11906" w:h="16838"/>
          <w:pgMar w:top="1134" w:right="567" w:bottom="1134" w:left="1134" w:header="708" w:footer="708" w:gutter="0"/>
          <w:cols w:space="708"/>
          <w:docGrid w:linePitch="360"/>
        </w:sectPr>
      </w:pPr>
      <w:r w:rsidRPr="002803A6">
        <w:rPr>
          <w:rFonts w:ascii="Times New Roman" w:eastAsia="Calibri" w:hAnsi="Times New Roman"/>
          <w:b/>
          <w:color w:val="660066"/>
          <w:sz w:val="28"/>
          <w:szCs w:val="28"/>
          <w:lang w:eastAsia="en-US"/>
        </w:rPr>
        <w:t>г.  Альметьевск,  20</w:t>
      </w:r>
      <w:r w:rsidR="002953E2">
        <w:rPr>
          <w:rFonts w:ascii="Times New Roman" w:eastAsia="Calibri" w:hAnsi="Times New Roman"/>
          <w:b/>
          <w:color w:val="660066"/>
          <w:sz w:val="28"/>
          <w:szCs w:val="28"/>
          <w:lang w:eastAsia="en-US"/>
        </w:rPr>
        <w:t>23</w:t>
      </w:r>
      <w:r w:rsidRPr="002803A6">
        <w:rPr>
          <w:rFonts w:ascii="Times New Roman" w:eastAsia="Calibri" w:hAnsi="Times New Roman"/>
          <w:b/>
          <w:color w:val="660066"/>
          <w:sz w:val="28"/>
          <w:szCs w:val="28"/>
          <w:lang w:eastAsia="en-US"/>
        </w:rPr>
        <w:t>г.</w:t>
      </w:r>
    </w:p>
    <w:p w:rsidR="00E60888" w:rsidRPr="00284E23" w:rsidRDefault="00E60888" w:rsidP="002803A6">
      <w:pPr>
        <w:spacing w:after="0" w:line="240" w:lineRule="auto"/>
        <w:rPr>
          <w:rFonts w:ascii="Times New Roman" w:eastAsia="Calibri" w:hAnsi="Times New Roman" w:cs="Times New Roman"/>
          <w:b/>
          <w:sz w:val="24"/>
          <w:szCs w:val="24"/>
          <w:lang w:eastAsia="en-US"/>
        </w:rPr>
      </w:pPr>
      <w:r w:rsidRPr="00284E23">
        <w:rPr>
          <w:rFonts w:ascii="Times New Roman" w:eastAsia="Calibri" w:hAnsi="Times New Roman" w:cs="Times New Roman"/>
          <w:b/>
          <w:sz w:val="24"/>
          <w:szCs w:val="24"/>
          <w:lang w:eastAsia="en-US"/>
        </w:rPr>
        <w:lastRenderedPageBreak/>
        <w:t>Содержание:                                                                                                                         стр.  2</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eastAsia="en-US"/>
        </w:rPr>
        <w:t>Цель исследования…………………………………………………………………………</w:t>
      </w:r>
      <w:r w:rsidR="003E2B8F" w:rsidRPr="00284E23">
        <w:rPr>
          <w:rFonts w:ascii="Times New Roman" w:eastAsia="Calibri" w:hAnsi="Times New Roman" w:cs="Times New Roman"/>
          <w:sz w:val="24"/>
          <w:szCs w:val="24"/>
          <w:lang w:eastAsia="en-US"/>
        </w:rPr>
        <w:t>....</w:t>
      </w:r>
      <w:r w:rsidRPr="00284E23">
        <w:rPr>
          <w:rFonts w:ascii="Times New Roman" w:eastAsia="Calibri" w:hAnsi="Times New Roman" w:cs="Times New Roman"/>
          <w:sz w:val="24"/>
          <w:szCs w:val="24"/>
          <w:lang w:eastAsia="en-US"/>
        </w:rPr>
        <w:t>… 2</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eastAsia="en-US"/>
        </w:rPr>
        <w:t>Введение…………………………………………………….………</w:t>
      </w:r>
      <w:r w:rsidR="003E2B8F" w:rsidRPr="00284E23">
        <w:rPr>
          <w:rFonts w:ascii="Times New Roman" w:eastAsia="Calibri" w:hAnsi="Times New Roman" w:cs="Times New Roman"/>
          <w:sz w:val="24"/>
          <w:szCs w:val="24"/>
          <w:lang w:eastAsia="en-US"/>
        </w:rPr>
        <w:t>………................................3</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eastAsia="en-US"/>
        </w:rPr>
        <w:t xml:space="preserve">Основная часть:   </w:t>
      </w:r>
      <w:r w:rsidRPr="00284E23">
        <w:rPr>
          <w:rFonts w:ascii="Times New Roman" w:eastAsia="Calibri" w:hAnsi="Times New Roman" w:cs="Times New Roman"/>
          <w:sz w:val="24"/>
          <w:szCs w:val="24"/>
          <w:lang w:val="en-US" w:eastAsia="en-US"/>
        </w:rPr>
        <w:t>I</w:t>
      </w:r>
      <w:r w:rsidRPr="00284E23">
        <w:rPr>
          <w:rFonts w:ascii="Times New Roman" w:eastAsia="Calibri" w:hAnsi="Times New Roman" w:cs="Times New Roman"/>
          <w:sz w:val="24"/>
          <w:szCs w:val="24"/>
          <w:lang w:eastAsia="en-US"/>
        </w:rPr>
        <w:t xml:space="preserve">.  </w:t>
      </w:r>
      <w:r w:rsidR="00CA17AD" w:rsidRPr="00284E23">
        <w:rPr>
          <w:rFonts w:ascii="Times New Roman" w:hAnsi="Times New Roman" w:cs="Times New Roman"/>
          <w:sz w:val="24"/>
          <w:szCs w:val="24"/>
        </w:rPr>
        <w:t>Общая характеристика НГДУ "Джалильнефть"</w:t>
      </w:r>
      <w:r w:rsidR="00CA17AD" w:rsidRPr="00284E23">
        <w:rPr>
          <w:rFonts w:ascii="Times New Roman" w:eastAsia="Calibri" w:hAnsi="Times New Roman" w:cs="Times New Roman"/>
          <w:sz w:val="24"/>
          <w:szCs w:val="24"/>
          <w:lang w:eastAsia="en-US"/>
        </w:rPr>
        <w:t>……</w:t>
      </w:r>
      <w:r w:rsidRPr="00284E23">
        <w:rPr>
          <w:rFonts w:ascii="Times New Roman" w:eastAsia="Calibri" w:hAnsi="Times New Roman" w:cs="Times New Roman"/>
          <w:sz w:val="24"/>
          <w:szCs w:val="24"/>
          <w:lang w:eastAsia="en-US"/>
        </w:rPr>
        <w:t>………</w:t>
      </w:r>
      <w:r w:rsidR="003E2B8F" w:rsidRPr="00284E23">
        <w:rPr>
          <w:rFonts w:ascii="Times New Roman" w:eastAsia="Calibri" w:hAnsi="Times New Roman" w:cs="Times New Roman"/>
          <w:sz w:val="24"/>
          <w:szCs w:val="24"/>
          <w:lang w:eastAsia="en-US"/>
        </w:rPr>
        <w:t>...............</w:t>
      </w:r>
      <w:r w:rsidRPr="00284E23">
        <w:rPr>
          <w:rFonts w:ascii="Times New Roman" w:eastAsia="Calibri" w:hAnsi="Times New Roman" w:cs="Times New Roman"/>
          <w:sz w:val="24"/>
          <w:szCs w:val="24"/>
          <w:lang w:eastAsia="en-US"/>
        </w:rPr>
        <w:t>...3</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val="en-US" w:eastAsia="en-US"/>
        </w:rPr>
        <w:t>II</w:t>
      </w:r>
      <w:r w:rsidRPr="00284E23">
        <w:rPr>
          <w:rFonts w:ascii="Times New Roman" w:eastAsia="Calibri" w:hAnsi="Times New Roman" w:cs="Times New Roman"/>
          <w:sz w:val="24"/>
          <w:szCs w:val="24"/>
          <w:lang w:eastAsia="en-US"/>
        </w:rPr>
        <w:t>. Сущность понятия "коррозия"………………………………………………</w:t>
      </w:r>
      <w:r w:rsidR="003E2B8F" w:rsidRPr="00284E23">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2803A6">
        <w:rPr>
          <w:rFonts w:ascii="Times New Roman" w:eastAsia="Calibri" w:hAnsi="Times New Roman" w:cs="Times New Roman"/>
          <w:sz w:val="24"/>
          <w:szCs w:val="24"/>
          <w:lang w:eastAsia="en-US"/>
        </w:rPr>
        <w:t>..5</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val="en-US" w:eastAsia="en-US"/>
        </w:rPr>
        <w:t>III</w:t>
      </w:r>
      <w:r w:rsidRPr="00284E23">
        <w:rPr>
          <w:rFonts w:ascii="Times New Roman" w:eastAsia="Calibri" w:hAnsi="Times New Roman" w:cs="Times New Roman"/>
          <w:sz w:val="24"/>
          <w:szCs w:val="24"/>
          <w:lang w:eastAsia="en-US"/>
        </w:rPr>
        <w:t xml:space="preserve">. </w:t>
      </w:r>
      <w:r w:rsidRPr="00284E23">
        <w:rPr>
          <w:rFonts w:ascii="Times New Roman" w:hAnsi="Times New Roman" w:cs="Times New Roman"/>
          <w:sz w:val="24"/>
          <w:szCs w:val="24"/>
        </w:rPr>
        <w:t>Защита НПО от коррозии ...............</w:t>
      </w:r>
      <w:r w:rsidRPr="00284E23">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2803A6">
        <w:rPr>
          <w:rFonts w:ascii="Times New Roman" w:eastAsia="Calibri" w:hAnsi="Times New Roman" w:cs="Times New Roman"/>
          <w:sz w:val="24"/>
          <w:szCs w:val="24"/>
          <w:lang w:eastAsia="en-US"/>
        </w:rPr>
        <w:t>..6</w:t>
      </w:r>
    </w:p>
    <w:p w:rsidR="00E60888" w:rsidRPr="00284E23" w:rsidRDefault="00E60888" w:rsidP="002803A6">
      <w:pPr>
        <w:numPr>
          <w:ilvl w:val="1"/>
          <w:numId w:val="1"/>
        </w:numPr>
        <w:tabs>
          <w:tab w:val="left" w:pos="227"/>
          <w:tab w:val="left" w:pos="467"/>
          <w:tab w:val="left" w:pos="632"/>
        </w:tabs>
        <w:spacing w:after="0" w:line="240" w:lineRule="auto"/>
        <w:rPr>
          <w:rFonts w:ascii="Times New Roman" w:eastAsia="Times New Roman" w:hAnsi="Times New Roman" w:cs="Times New Roman"/>
          <w:sz w:val="24"/>
          <w:szCs w:val="24"/>
        </w:rPr>
      </w:pPr>
      <w:r w:rsidRPr="00284E23">
        <w:rPr>
          <w:rFonts w:ascii="Times New Roman" w:eastAsia="Times New Roman" w:hAnsi="Times New Roman" w:cs="Times New Roman"/>
          <w:sz w:val="24"/>
          <w:szCs w:val="24"/>
        </w:rPr>
        <w:t>Анализ порывности нефтепроводов</w:t>
      </w:r>
      <w:r w:rsidRPr="00284E23">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2803A6">
        <w:rPr>
          <w:rFonts w:ascii="Times New Roman" w:eastAsia="Calibri" w:hAnsi="Times New Roman" w:cs="Times New Roman"/>
          <w:sz w:val="24"/>
          <w:szCs w:val="24"/>
          <w:lang w:eastAsia="en-US"/>
        </w:rPr>
        <w:t>...7</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Times New Roman" w:hAnsi="Times New Roman" w:cs="Times New Roman"/>
          <w:sz w:val="24"/>
          <w:szCs w:val="24"/>
        </w:rPr>
        <w:t>3.2.   Анализ порывности водоводов</w:t>
      </w:r>
      <w:r w:rsidRPr="00284E23">
        <w:rPr>
          <w:rFonts w:ascii="Times New Roman" w:eastAsia="Calibri" w:hAnsi="Times New Roman" w:cs="Times New Roman"/>
          <w:sz w:val="24"/>
          <w:szCs w:val="24"/>
          <w:lang w:eastAsia="en-US"/>
        </w:rPr>
        <w:t xml:space="preserve"> ……............</w:t>
      </w:r>
      <w:r w:rsidR="003E107A" w:rsidRPr="00284E23">
        <w:rPr>
          <w:rFonts w:ascii="Times New Roman" w:eastAsia="Calibri" w:hAnsi="Times New Roman" w:cs="Times New Roman"/>
          <w:sz w:val="24"/>
          <w:szCs w:val="24"/>
          <w:lang w:eastAsia="en-US"/>
        </w:rPr>
        <w:t>................</w:t>
      </w:r>
      <w:r w:rsidRPr="00284E23">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12</w:t>
      </w:r>
    </w:p>
    <w:p w:rsidR="00E60888" w:rsidRPr="00284E23" w:rsidRDefault="00E60888" w:rsidP="002803A6">
      <w:pPr>
        <w:spacing w:after="0" w:line="240" w:lineRule="auto"/>
        <w:rPr>
          <w:rFonts w:ascii="Times New Roman" w:eastAsia="Times New Roman" w:hAnsi="Times New Roman" w:cs="Times New Roman"/>
          <w:sz w:val="24"/>
          <w:szCs w:val="24"/>
        </w:rPr>
      </w:pPr>
      <w:r w:rsidRPr="00284E23">
        <w:rPr>
          <w:rFonts w:ascii="Times New Roman" w:eastAsia="Calibri" w:hAnsi="Times New Roman" w:cs="Times New Roman"/>
          <w:sz w:val="24"/>
          <w:szCs w:val="24"/>
          <w:lang w:eastAsia="en-US"/>
        </w:rPr>
        <w:t xml:space="preserve">3.3.  </w:t>
      </w:r>
      <w:r w:rsidRPr="00284E23">
        <w:rPr>
          <w:rFonts w:ascii="Times New Roman" w:eastAsia="Times New Roman" w:hAnsi="Times New Roman" w:cs="Times New Roman"/>
          <w:sz w:val="24"/>
          <w:szCs w:val="24"/>
        </w:rPr>
        <w:t>Защита трубопроводов от внутренней коррозии..................................................</w:t>
      </w:r>
      <w:r w:rsidR="00A33018">
        <w:rPr>
          <w:rFonts w:ascii="Times New Roman" w:eastAsia="Times New Roman" w:hAnsi="Times New Roman" w:cs="Times New Roman"/>
          <w:sz w:val="24"/>
          <w:szCs w:val="24"/>
        </w:rPr>
        <w:t>.........</w:t>
      </w:r>
      <w:r w:rsidRPr="00284E23">
        <w:rPr>
          <w:rFonts w:ascii="Times New Roman" w:eastAsia="Times New Roman" w:hAnsi="Times New Roman" w:cs="Times New Roman"/>
          <w:sz w:val="24"/>
          <w:szCs w:val="24"/>
        </w:rPr>
        <w:t>...</w:t>
      </w:r>
      <w:r w:rsidR="00A33018">
        <w:rPr>
          <w:rFonts w:ascii="Times New Roman" w:eastAsia="Times New Roman" w:hAnsi="Times New Roman" w:cs="Times New Roman"/>
          <w:sz w:val="24"/>
          <w:szCs w:val="24"/>
        </w:rPr>
        <w:t>18</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Times New Roman" w:hAnsi="Times New Roman" w:cs="Times New Roman"/>
          <w:sz w:val="24"/>
          <w:szCs w:val="24"/>
        </w:rPr>
        <w:t>3.4.  Защита трубопроводов от наружной коррозии........................................................</w:t>
      </w:r>
      <w:r w:rsidR="00A33018">
        <w:rPr>
          <w:rFonts w:ascii="Times New Roman" w:eastAsia="Times New Roman" w:hAnsi="Times New Roman" w:cs="Times New Roman"/>
          <w:sz w:val="24"/>
          <w:szCs w:val="24"/>
        </w:rPr>
        <w:t>.</w:t>
      </w:r>
      <w:r w:rsidRPr="00284E23">
        <w:rPr>
          <w:rFonts w:ascii="Times New Roman" w:eastAsia="Times New Roman" w:hAnsi="Times New Roman" w:cs="Times New Roman"/>
          <w:sz w:val="24"/>
          <w:szCs w:val="24"/>
        </w:rPr>
        <w:t>........</w:t>
      </w:r>
      <w:r w:rsidR="00A33018">
        <w:rPr>
          <w:rFonts w:ascii="Times New Roman" w:eastAsia="Times New Roman" w:hAnsi="Times New Roman" w:cs="Times New Roman"/>
          <w:sz w:val="24"/>
          <w:szCs w:val="24"/>
        </w:rPr>
        <w:t>22</w:t>
      </w:r>
    </w:p>
    <w:p w:rsidR="00E60888" w:rsidRPr="00284E23" w:rsidRDefault="00E60888" w:rsidP="002803A6">
      <w:pPr>
        <w:pStyle w:val="a7"/>
        <w:spacing w:before="0" w:beforeAutospacing="0" w:after="0" w:afterAutospacing="0"/>
        <w:rPr>
          <w:bCs/>
        </w:rPr>
      </w:pPr>
      <w:r w:rsidRPr="00284E23">
        <w:rPr>
          <w:bCs/>
        </w:rPr>
        <w:t>Мероприятия по охране природных комплексов.........................................</w:t>
      </w:r>
      <w:r w:rsidR="003E107A" w:rsidRPr="00284E23">
        <w:rPr>
          <w:bCs/>
        </w:rPr>
        <w:t>.....................</w:t>
      </w:r>
      <w:r w:rsidR="00A33018">
        <w:rPr>
          <w:bCs/>
        </w:rPr>
        <w:t>.</w:t>
      </w:r>
      <w:r w:rsidR="003E107A" w:rsidRPr="00284E23">
        <w:rPr>
          <w:bCs/>
        </w:rPr>
        <w:t>......</w:t>
      </w:r>
      <w:r w:rsidR="00A33018">
        <w:rPr>
          <w:bCs/>
        </w:rPr>
        <w:t>22</w:t>
      </w:r>
    </w:p>
    <w:p w:rsidR="00E60888"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eastAsia="en-US"/>
        </w:rPr>
        <w:t>Краткие выводы………</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24</w:t>
      </w:r>
    </w:p>
    <w:p w:rsidR="0087579D" w:rsidRPr="00284E23" w:rsidRDefault="00E60888" w:rsidP="002803A6">
      <w:pPr>
        <w:spacing w:after="0" w:line="240" w:lineRule="auto"/>
        <w:rPr>
          <w:rFonts w:ascii="Times New Roman" w:eastAsia="Calibri" w:hAnsi="Times New Roman" w:cs="Times New Roman"/>
          <w:sz w:val="24"/>
          <w:szCs w:val="24"/>
          <w:lang w:eastAsia="en-US"/>
        </w:rPr>
      </w:pPr>
      <w:r w:rsidRPr="00284E23">
        <w:rPr>
          <w:rFonts w:ascii="Times New Roman" w:eastAsia="Calibri" w:hAnsi="Times New Roman" w:cs="Times New Roman"/>
          <w:sz w:val="24"/>
          <w:szCs w:val="24"/>
          <w:lang w:eastAsia="en-US"/>
        </w:rPr>
        <w:t>Список использованной литера</w:t>
      </w:r>
      <w:r w:rsidR="003E107A" w:rsidRPr="00284E23">
        <w:rPr>
          <w:rFonts w:ascii="Times New Roman" w:eastAsia="Calibri" w:hAnsi="Times New Roman" w:cs="Times New Roman"/>
          <w:sz w:val="24"/>
          <w:szCs w:val="24"/>
          <w:lang w:eastAsia="en-US"/>
        </w:rPr>
        <w:t>туры…………………………………………………....</w:t>
      </w:r>
      <w:r w:rsidR="00A33018">
        <w:rPr>
          <w:rFonts w:ascii="Times New Roman" w:eastAsia="Calibri" w:hAnsi="Times New Roman" w:cs="Times New Roman"/>
          <w:sz w:val="24"/>
          <w:szCs w:val="24"/>
          <w:lang w:eastAsia="en-US"/>
        </w:rPr>
        <w:t>......</w:t>
      </w:r>
      <w:r w:rsidR="003E107A" w:rsidRPr="00284E23">
        <w:rPr>
          <w:rFonts w:ascii="Times New Roman" w:eastAsia="Calibri" w:hAnsi="Times New Roman" w:cs="Times New Roman"/>
          <w:sz w:val="24"/>
          <w:szCs w:val="24"/>
          <w:lang w:eastAsia="en-US"/>
        </w:rPr>
        <w:t>...</w:t>
      </w:r>
      <w:r w:rsidR="00A33018">
        <w:rPr>
          <w:rFonts w:ascii="Times New Roman" w:eastAsia="Calibri" w:hAnsi="Times New Roman" w:cs="Times New Roman"/>
          <w:sz w:val="24"/>
          <w:szCs w:val="24"/>
          <w:lang w:eastAsia="en-US"/>
        </w:rPr>
        <w:t>25</w:t>
      </w:r>
    </w:p>
    <w:p w:rsidR="00510B62" w:rsidRPr="00284E23" w:rsidRDefault="00510B62" w:rsidP="002803A6">
      <w:pPr>
        <w:pStyle w:val="11"/>
        <w:jc w:val="both"/>
        <w:rPr>
          <w:b/>
          <w:szCs w:val="24"/>
        </w:rPr>
      </w:pPr>
    </w:p>
    <w:p w:rsidR="007D712B" w:rsidRPr="00284E23" w:rsidRDefault="007D712B" w:rsidP="002803A6">
      <w:pPr>
        <w:pStyle w:val="11"/>
        <w:jc w:val="both"/>
        <w:rPr>
          <w:rFonts w:eastAsia="Calibri"/>
          <w:szCs w:val="24"/>
          <w:lang w:eastAsia="en-US"/>
        </w:rPr>
      </w:pPr>
      <w:r w:rsidRPr="00284E23">
        <w:rPr>
          <w:b/>
          <w:szCs w:val="24"/>
        </w:rPr>
        <w:t>Цель  исследования</w:t>
      </w:r>
      <w:r w:rsidRPr="00284E23">
        <w:rPr>
          <w:szCs w:val="24"/>
        </w:rPr>
        <w:t xml:space="preserve">: изучить </w:t>
      </w:r>
      <w:r w:rsidR="00FE4A8A" w:rsidRPr="00284E23">
        <w:rPr>
          <w:rFonts w:eastAsia="Calibri"/>
          <w:szCs w:val="24"/>
          <w:lang w:eastAsia="en-US"/>
        </w:rPr>
        <w:t>коррозию трубопроводов при добыче нефти</w:t>
      </w:r>
      <w:r w:rsidR="00FE4A8A" w:rsidRPr="00284E23">
        <w:rPr>
          <w:szCs w:val="24"/>
        </w:rPr>
        <w:t>в НГДУ "</w:t>
      </w:r>
      <w:r w:rsidRPr="00284E23">
        <w:rPr>
          <w:szCs w:val="24"/>
        </w:rPr>
        <w:t>Джалильнефть», чтобы самоопределиться.</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 xml:space="preserve">Для выполнения поставленной  цели, сформулировали  </w:t>
      </w:r>
      <w:r w:rsidRPr="00284E23">
        <w:rPr>
          <w:rFonts w:ascii="Times New Roman" w:hAnsi="Times New Roman" w:cs="Times New Roman"/>
          <w:b/>
          <w:sz w:val="24"/>
          <w:szCs w:val="24"/>
        </w:rPr>
        <w:t>ряд задач</w:t>
      </w:r>
      <w:r w:rsidRPr="00284E23">
        <w:rPr>
          <w:rFonts w:ascii="Times New Roman" w:hAnsi="Times New Roman" w:cs="Times New Roman"/>
          <w:sz w:val="24"/>
          <w:szCs w:val="24"/>
        </w:rPr>
        <w:t>, которые нам нужно выполнить:</w:t>
      </w:r>
    </w:p>
    <w:p w:rsidR="00591ED3" w:rsidRPr="00284E23" w:rsidRDefault="00284E23" w:rsidP="002803A6">
      <w:pPr>
        <w:numPr>
          <w:ilvl w:val="0"/>
          <w:numId w:val="2"/>
        </w:numPr>
        <w:tabs>
          <w:tab w:val="clear" w:pos="845"/>
        </w:tabs>
        <w:spacing w:after="0" w:line="240" w:lineRule="auto"/>
        <w:ind w:left="426" w:firstLine="0"/>
        <w:jc w:val="both"/>
        <w:rPr>
          <w:rFonts w:ascii="Times New Roman" w:hAnsi="Times New Roman" w:cs="Times New Roman"/>
          <w:sz w:val="24"/>
          <w:szCs w:val="24"/>
        </w:rPr>
      </w:pPr>
      <w:r w:rsidRPr="00284E23">
        <w:rPr>
          <w:rFonts w:ascii="Times New Roman" w:hAnsi="Times New Roman" w:cs="Times New Roman"/>
          <w:sz w:val="24"/>
          <w:szCs w:val="24"/>
        </w:rPr>
        <w:t>Набрать нужную информацию и и</w:t>
      </w:r>
      <w:r w:rsidR="00591ED3" w:rsidRPr="00284E23">
        <w:rPr>
          <w:rFonts w:ascii="Times New Roman" w:hAnsi="Times New Roman" w:cs="Times New Roman"/>
          <w:sz w:val="24"/>
          <w:szCs w:val="24"/>
        </w:rPr>
        <w:t>зучить  добычу</w:t>
      </w:r>
      <w:r w:rsidR="007D712B" w:rsidRPr="00284E23">
        <w:rPr>
          <w:rFonts w:ascii="Times New Roman" w:hAnsi="Times New Roman" w:cs="Times New Roman"/>
          <w:sz w:val="24"/>
          <w:szCs w:val="24"/>
        </w:rPr>
        <w:t xml:space="preserve"> нефти в   «НГДУ Джалильнефть»  </w:t>
      </w:r>
    </w:p>
    <w:p w:rsidR="00FE4A8A" w:rsidRPr="00284E23" w:rsidRDefault="00591ED3" w:rsidP="002803A6">
      <w:pPr>
        <w:pStyle w:val="a8"/>
        <w:numPr>
          <w:ilvl w:val="0"/>
          <w:numId w:val="2"/>
        </w:numPr>
        <w:shd w:val="clear" w:color="auto" w:fill="FFFFFF"/>
        <w:spacing w:after="0" w:line="240" w:lineRule="auto"/>
        <w:jc w:val="both"/>
        <w:rPr>
          <w:rFonts w:eastAsia="Times New Roman"/>
          <w:sz w:val="24"/>
          <w:szCs w:val="24"/>
        </w:rPr>
      </w:pPr>
      <w:r w:rsidRPr="00284E23">
        <w:rPr>
          <w:rFonts w:eastAsia="Times New Roman"/>
          <w:sz w:val="24"/>
          <w:szCs w:val="24"/>
        </w:rPr>
        <w:t>Понять, что такое  коррозия</w:t>
      </w:r>
      <w:r w:rsidR="00FE4A8A" w:rsidRPr="00284E23">
        <w:rPr>
          <w:rFonts w:eastAsia="Times New Roman"/>
          <w:sz w:val="24"/>
          <w:szCs w:val="24"/>
        </w:rPr>
        <w:t>, её виды, способы защиты от коррозии.</w:t>
      </w:r>
    </w:p>
    <w:p w:rsidR="00FE4A8A" w:rsidRPr="00284E23" w:rsidRDefault="00591ED3" w:rsidP="002803A6">
      <w:pPr>
        <w:pStyle w:val="a8"/>
        <w:numPr>
          <w:ilvl w:val="0"/>
          <w:numId w:val="2"/>
        </w:numPr>
        <w:shd w:val="clear" w:color="auto" w:fill="FFFFFF"/>
        <w:spacing w:after="0" w:line="240" w:lineRule="auto"/>
        <w:jc w:val="both"/>
        <w:rPr>
          <w:rFonts w:eastAsia="Times New Roman"/>
          <w:sz w:val="24"/>
          <w:szCs w:val="24"/>
        </w:rPr>
      </w:pPr>
      <w:r w:rsidRPr="00284E23">
        <w:rPr>
          <w:rFonts w:eastAsia="Times New Roman"/>
          <w:sz w:val="24"/>
          <w:szCs w:val="24"/>
        </w:rPr>
        <w:t>Уз</w:t>
      </w:r>
      <w:r w:rsidR="00FE4A8A" w:rsidRPr="00284E23">
        <w:rPr>
          <w:rFonts w:eastAsia="Times New Roman"/>
          <w:sz w:val="24"/>
          <w:szCs w:val="24"/>
        </w:rPr>
        <w:t>нать условия, способствующие или препятствующие коррозии.</w:t>
      </w:r>
      <w:r w:rsidR="00284E23" w:rsidRPr="00284E23">
        <w:rPr>
          <w:rFonts w:eastAsia="Times New Roman"/>
          <w:sz w:val="24"/>
          <w:szCs w:val="24"/>
        </w:rPr>
        <w:t>Наблюдать за веществами и происходящими с ними изменениями</w:t>
      </w:r>
    </w:p>
    <w:p w:rsidR="00FE4A8A" w:rsidRPr="00284E23" w:rsidRDefault="00FE4A8A" w:rsidP="002803A6">
      <w:pPr>
        <w:pStyle w:val="a8"/>
        <w:numPr>
          <w:ilvl w:val="0"/>
          <w:numId w:val="2"/>
        </w:numPr>
        <w:shd w:val="clear" w:color="auto" w:fill="FFFFFF"/>
        <w:spacing w:after="0" w:line="240" w:lineRule="auto"/>
        <w:jc w:val="both"/>
        <w:rPr>
          <w:rFonts w:eastAsia="Times New Roman"/>
          <w:sz w:val="24"/>
          <w:szCs w:val="24"/>
        </w:rPr>
      </w:pPr>
      <w:r w:rsidRPr="00284E23">
        <w:rPr>
          <w:rFonts w:eastAsia="Times New Roman"/>
          <w:sz w:val="24"/>
          <w:szCs w:val="24"/>
        </w:rPr>
        <w:t>Совершествовать умения работать с учебными материалами, выделять главное.</w:t>
      </w:r>
    </w:p>
    <w:p w:rsidR="00FE4A8A" w:rsidRPr="00284E23" w:rsidRDefault="00FE4A8A" w:rsidP="002803A6">
      <w:pPr>
        <w:pStyle w:val="a8"/>
        <w:numPr>
          <w:ilvl w:val="0"/>
          <w:numId w:val="2"/>
        </w:numPr>
        <w:shd w:val="clear" w:color="auto" w:fill="FFFFFF"/>
        <w:spacing w:after="0" w:line="240" w:lineRule="auto"/>
        <w:jc w:val="both"/>
        <w:rPr>
          <w:rFonts w:eastAsia="Times New Roman"/>
          <w:sz w:val="24"/>
          <w:szCs w:val="24"/>
        </w:rPr>
      </w:pPr>
      <w:r w:rsidRPr="00284E23">
        <w:rPr>
          <w:rFonts w:eastAsia="Times New Roman"/>
          <w:sz w:val="24"/>
          <w:szCs w:val="24"/>
        </w:rPr>
        <w:t>Проводить исследовательские процедуры</w:t>
      </w:r>
      <w:r w:rsidR="00591ED3" w:rsidRPr="00284E23">
        <w:rPr>
          <w:rFonts w:eastAsia="Times New Roman"/>
          <w:sz w:val="24"/>
          <w:szCs w:val="24"/>
        </w:rPr>
        <w:t xml:space="preserve"> и ф</w:t>
      </w:r>
      <w:r w:rsidRPr="00284E23">
        <w:rPr>
          <w:rFonts w:eastAsia="Times New Roman"/>
          <w:sz w:val="24"/>
          <w:szCs w:val="24"/>
        </w:rPr>
        <w:t>ормулировать выводы.</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Наш проект может пригодиться как пособие для учителя географии (как общей географии, так и географии Татарстана, учителя геологии). А для нас этот проект важен, так как мы можем усовершенствовать свои на</w:t>
      </w:r>
      <w:r w:rsidR="00591ED3" w:rsidRPr="00284E23">
        <w:rPr>
          <w:rFonts w:ascii="Times New Roman" w:hAnsi="Times New Roman" w:cs="Times New Roman"/>
          <w:sz w:val="24"/>
          <w:szCs w:val="24"/>
        </w:rPr>
        <w:t xml:space="preserve">выки в проектной деятельности, </w:t>
      </w:r>
      <w:r w:rsidRPr="00284E23">
        <w:rPr>
          <w:rFonts w:ascii="Times New Roman" w:hAnsi="Times New Roman" w:cs="Times New Roman"/>
          <w:sz w:val="24"/>
          <w:szCs w:val="24"/>
        </w:rPr>
        <w:t xml:space="preserve">  потому что это связано с нашей будущей профессией.</w:t>
      </w:r>
    </w:p>
    <w:p w:rsidR="007D712B" w:rsidRPr="00284E23" w:rsidRDefault="007D712B" w:rsidP="002803A6">
      <w:pPr>
        <w:spacing w:after="0" w:line="240" w:lineRule="auto"/>
        <w:jc w:val="both"/>
        <w:rPr>
          <w:rFonts w:ascii="Times New Roman" w:eastAsia="Calibri" w:hAnsi="Times New Roman" w:cs="Times New Roman"/>
          <w:sz w:val="24"/>
          <w:szCs w:val="24"/>
        </w:rPr>
      </w:pPr>
      <w:r w:rsidRPr="00284E23">
        <w:rPr>
          <w:rFonts w:ascii="Times New Roman" w:eastAsia="Calibri" w:hAnsi="Times New Roman" w:cs="Times New Roman"/>
          <w:b/>
          <w:sz w:val="24"/>
          <w:szCs w:val="24"/>
        </w:rPr>
        <w:t>Использовали математические  методы и экономического исследования</w:t>
      </w:r>
      <w:r w:rsidRPr="00284E23">
        <w:rPr>
          <w:rFonts w:ascii="Times New Roman" w:eastAsia="Calibri" w:hAnsi="Times New Roman" w:cs="Times New Roman"/>
          <w:sz w:val="24"/>
          <w:szCs w:val="24"/>
        </w:rPr>
        <w:t>:</w:t>
      </w: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eastAsia="Calibri" w:hAnsi="Times New Roman" w:cs="Times New Roman"/>
          <w:sz w:val="24"/>
          <w:szCs w:val="24"/>
        </w:rPr>
        <w:t>- наблюдение и сбор фактов;</w:t>
      </w: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eastAsia="Calibri" w:hAnsi="Times New Roman" w:cs="Times New Roman"/>
          <w:sz w:val="24"/>
          <w:szCs w:val="24"/>
        </w:rPr>
        <w:t xml:space="preserve">- </w:t>
      </w:r>
      <w:r w:rsidR="00591ED3" w:rsidRPr="00284E23">
        <w:rPr>
          <w:rFonts w:ascii="Times New Roman" w:hAnsi="Times New Roman" w:cs="Times New Roman"/>
          <w:sz w:val="24"/>
          <w:szCs w:val="24"/>
        </w:rPr>
        <w:t>статистический</w:t>
      </w:r>
      <w:r w:rsidRPr="00284E23">
        <w:rPr>
          <w:rFonts w:ascii="Times New Roman" w:eastAsia="Calibri" w:hAnsi="Times New Roman" w:cs="Times New Roman"/>
          <w:sz w:val="24"/>
          <w:szCs w:val="24"/>
        </w:rPr>
        <w:t>;</w:t>
      </w: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eastAsia="Calibri" w:hAnsi="Times New Roman" w:cs="Times New Roman"/>
          <w:sz w:val="24"/>
          <w:szCs w:val="24"/>
        </w:rPr>
        <w:t>- анализ и синтез, системный подход;</w:t>
      </w: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eastAsia="Calibri" w:hAnsi="Times New Roman" w:cs="Times New Roman"/>
          <w:sz w:val="24"/>
          <w:szCs w:val="24"/>
        </w:rPr>
        <w:t>- исторический и логический;</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eastAsia="Calibri" w:hAnsi="Times New Roman" w:cs="Times New Roman"/>
          <w:sz w:val="24"/>
          <w:szCs w:val="24"/>
        </w:rPr>
        <w:t>- графический</w:t>
      </w:r>
    </w:p>
    <w:p w:rsidR="002803A6" w:rsidRPr="002803A6" w:rsidRDefault="002803A6" w:rsidP="002803A6">
      <w:pPr>
        <w:spacing w:after="0" w:line="240" w:lineRule="auto"/>
        <w:jc w:val="both"/>
        <w:rPr>
          <w:rFonts w:ascii="Times New Roman" w:hAnsi="Times New Roman" w:cs="Times New Roman"/>
          <w:sz w:val="24"/>
          <w:szCs w:val="24"/>
        </w:rPr>
      </w:pPr>
      <w:r w:rsidRPr="002803A6">
        <w:rPr>
          <w:rFonts w:ascii="Times New Roman" w:hAnsi="Times New Roman" w:cs="Times New Roman"/>
          <w:sz w:val="24"/>
          <w:szCs w:val="24"/>
        </w:rPr>
        <w:t xml:space="preserve">Наша работа </w:t>
      </w:r>
      <w:r w:rsidRPr="002803A6">
        <w:rPr>
          <w:rFonts w:ascii="Times New Roman" w:hAnsi="Times New Roman" w:cs="Times New Roman"/>
          <w:b/>
          <w:sz w:val="24"/>
          <w:szCs w:val="24"/>
        </w:rPr>
        <w:t xml:space="preserve">актуальна </w:t>
      </w:r>
      <w:r w:rsidRPr="002803A6">
        <w:rPr>
          <w:rFonts w:ascii="Times New Roman" w:hAnsi="Times New Roman" w:cs="Times New Roman"/>
          <w:sz w:val="24"/>
          <w:szCs w:val="24"/>
        </w:rPr>
        <w:t xml:space="preserve">по нескольким  причинам: </w:t>
      </w:r>
    </w:p>
    <w:p w:rsidR="002803A6" w:rsidRPr="002803A6" w:rsidRDefault="002803A6" w:rsidP="002803A6">
      <w:pPr>
        <w:spacing w:after="0" w:line="240" w:lineRule="auto"/>
        <w:jc w:val="both"/>
        <w:rPr>
          <w:rFonts w:ascii="Times New Roman" w:hAnsi="Times New Roman" w:cs="Times New Roman"/>
          <w:sz w:val="24"/>
          <w:szCs w:val="24"/>
        </w:rPr>
      </w:pPr>
      <w:r w:rsidRPr="002803A6">
        <w:rPr>
          <w:rFonts w:ascii="Times New Roman" w:hAnsi="Times New Roman" w:cs="Times New Roman"/>
          <w:sz w:val="24"/>
          <w:szCs w:val="24"/>
        </w:rPr>
        <w:t xml:space="preserve">    Топливно-энергетический комплекс – основа развития всех отраслей экономики России. Важнейшим его элементом является система магистральных трубопроводов для транспорта нефти, газа и продуктов их переработки.</w:t>
      </w:r>
    </w:p>
    <w:p w:rsidR="00510B62" w:rsidRPr="00284E23" w:rsidRDefault="002803A6" w:rsidP="002803A6">
      <w:pPr>
        <w:spacing w:after="0" w:line="240" w:lineRule="auto"/>
        <w:jc w:val="both"/>
        <w:rPr>
          <w:rFonts w:ascii="Times New Roman" w:hAnsi="Times New Roman" w:cs="Times New Roman"/>
          <w:b/>
          <w:sz w:val="24"/>
          <w:szCs w:val="24"/>
        </w:rPr>
      </w:pPr>
      <w:r w:rsidRPr="002803A6">
        <w:rPr>
          <w:rFonts w:ascii="Times New Roman" w:hAnsi="Times New Roman" w:cs="Times New Roman"/>
          <w:sz w:val="24"/>
          <w:szCs w:val="24"/>
        </w:rPr>
        <w:t>В настоящее время на территории России эксплуатируется 350 тыс. км промысловых трубопроводов, что почти в 9 раз больше длины экватора. Нефтяники считают трубопроводы миной замедленного действия, которая может «взорваться» в любой момент. Защита металлов от коррозии является важной государственной задачей.</w:t>
      </w:r>
    </w:p>
    <w:p w:rsidR="00510B62" w:rsidRPr="00284E23" w:rsidRDefault="00510B62" w:rsidP="002803A6">
      <w:pPr>
        <w:spacing w:after="0" w:line="240" w:lineRule="auto"/>
        <w:ind w:firstLine="567"/>
        <w:jc w:val="both"/>
        <w:rPr>
          <w:rFonts w:ascii="Times New Roman" w:hAnsi="Times New Roman" w:cs="Times New Roman"/>
          <w:b/>
          <w:sz w:val="24"/>
          <w:szCs w:val="24"/>
        </w:rPr>
      </w:pPr>
    </w:p>
    <w:p w:rsidR="007D712B" w:rsidRPr="00284E23" w:rsidRDefault="007D712B" w:rsidP="002803A6">
      <w:pPr>
        <w:spacing w:after="0" w:line="240" w:lineRule="auto"/>
        <w:ind w:firstLine="567"/>
        <w:jc w:val="center"/>
        <w:rPr>
          <w:rFonts w:ascii="Times New Roman" w:hAnsi="Times New Roman" w:cs="Times New Roman"/>
          <w:b/>
          <w:sz w:val="24"/>
          <w:szCs w:val="24"/>
        </w:rPr>
      </w:pPr>
      <w:r w:rsidRPr="00284E23">
        <w:rPr>
          <w:rFonts w:ascii="Times New Roman" w:hAnsi="Times New Roman" w:cs="Times New Roman"/>
          <w:b/>
          <w:sz w:val="24"/>
          <w:szCs w:val="24"/>
        </w:rPr>
        <w:t>Введение.</w:t>
      </w:r>
    </w:p>
    <w:p w:rsidR="00443D0D" w:rsidRPr="00284E23" w:rsidRDefault="00443D0D" w:rsidP="002803A6">
      <w:pPr>
        <w:spacing w:after="0" w:line="240" w:lineRule="auto"/>
        <w:ind w:firstLine="567"/>
        <w:jc w:val="both"/>
        <w:rPr>
          <w:rFonts w:ascii="Times New Roman" w:hAnsi="Times New Roman" w:cs="Times New Roman"/>
          <w:b/>
          <w:sz w:val="24"/>
          <w:szCs w:val="24"/>
        </w:rPr>
      </w:pPr>
    </w:p>
    <w:p w:rsidR="00CA17AD" w:rsidRPr="00284E23" w:rsidRDefault="0020196C" w:rsidP="002803A6">
      <w:pPr>
        <w:pStyle w:val="a7"/>
        <w:spacing w:before="0" w:beforeAutospacing="0" w:after="0" w:afterAutospacing="0"/>
        <w:jc w:val="both"/>
      </w:pPr>
      <w:r w:rsidRPr="00284E23">
        <w:t xml:space="preserve">Топливно-энергетический комплекс – основа развития всех отраслей экономики России.  </w:t>
      </w:r>
      <w:r w:rsidR="00443D0D" w:rsidRPr="00284E23">
        <w:t xml:space="preserve">Разработка нефтяных месторождений в экологическом отношении является сложным и ответственным видом деятельности человека. Её последствия – это загрязненные почвы, поверхностных и подземных вод, атмосферного воздуха. Серьезно заниматься вопросами экологической безопасности в объединении "Татнефть" начали в конце 70-х годов </w:t>
      </w:r>
      <w:r w:rsidR="00443D0D" w:rsidRPr="00284E23">
        <w:lastRenderedPageBreak/>
        <w:t xml:space="preserve">прошлого века. В НГДУ </w:t>
      </w:r>
      <w:r w:rsidRPr="00284E23">
        <w:t xml:space="preserve"> "Джалильнефть" </w:t>
      </w:r>
      <w:r w:rsidR="00443D0D" w:rsidRPr="00284E23">
        <w:t xml:space="preserve">в октябре 1997 года был создан отдел по охране природы и окружающей среды, который сегодня называется </w:t>
      </w:r>
      <w:r w:rsidR="00CA17AD" w:rsidRPr="00284E23">
        <w:t>"</w:t>
      </w:r>
      <w:r w:rsidRPr="00284E23">
        <w:t>отдел по борьбе с коррозией и охране природы</w:t>
      </w:r>
      <w:r w:rsidR="00CA17AD" w:rsidRPr="00284E23">
        <w:t>"</w:t>
      </w:r>
      <w:r w:rsidRPr="00284E23">
        <w:t>.</w:t>
      </w:r>
    </w:p>
    <w:p w:rsidR="0020196C" w:rsidRPr="00284E23" w:rsidRDefault="0020196C" w:rsidP="002803A6">
      <w:pPr>
        <w:pStyle w:val="a7"/>
        <w:spacing w:before="0" w:beforeAutospacing="0" w:after="0" w:afterAutospacing="0"/>
        <w:jc w:val="both"/>
      </w:pPr>
      <w:r w:rsidRPr="00284E23">
        <w:t>Деятельность отдела по борьбе с коррозией и охране природы       НГДУ «Джалильнефть» по обеспечению экологической безопасности  осуществляется в соответствии с законами РФ и РТ «Об охране окружающей среды», в рамках долгосрочной «Экологической программы ПАО «Татнефть» на период 2016-2020гг», отвечающих всем действующим природоохранным нормам и правилам.</w:t>
      </w:r>
    </w:p>
    <w:p w:rsidR="0020196C" w:rsidRPr="00284E23" w:rsidRDefault="0020196C" w:rsidP="002803A6">
      <w:pPr>
        <w:spacing w:after="0" w:line="240" w:lineRule="auto"/>
        <w:ind w:firstLine="540"/>
        <w:jc w:val="both"/>
        <w:rPr>
          <w:rFonts w:ascii="Times New Roman" w:hAnsi="Times New Roman" w:cs="Times New Roman"/>
          <w:sz w:val="24"/>
          <w:szCs w:val="24"/>
        </w:rPr>
      </w:pPr>
      <w:r w:rsidRPr="00284E23">
        <w:rPr>
          <w:rFonts w:ascii="Times New Roman" w:hAnsi="Times New Roman" w:cs="Times New Roman"/>
          <w:sz w:val="24"/>
          <w:szCs w:val="24"/>
        </w:rPr>
        <w:t>Состав отдела: начальник,  2 ведущих инженера по экологии,1 ведущий инженер по коррозии и оператор ЭВиВМ. В оперативном подчинении находятся мастер по рекультивации ЦППД и водная группа ХАЛ ЦКППН-1. С 01.02.2017г.</w:t>
      </w:r>
      <w:r w:rsidR="00CA17AD" w:rsidRPr="00284E23">
        <w:rPr>
          <w:rFonts w:ascii="Times New Roman" w:hAnsi="Times New Roman" w:cs="Times New Roman"/>
          <w:sz w:val="24"/>
          <w:szCs w:val="24"/>
        </w:rPr>
        <w:t xml:space="preserve"> цех АКЗО </w:t>
      </w:r>
      <w:r w:rsidRPr="00284E23">
        <w:rPr>
          <w:rFonts w:ascii="Times New Roman" w:hAnsi="Times New Roman" w:cs="Times New Roman"/>
          <w:sz w:val="24"/>
          <w:szCs w:val="24"/>
        </w:rPr>
        <w:t>переведен в состав БМЗ.</w:t>
      </w:r>
    </w:p>
    <w:p w:rsidR="00443D0D" w:rsidRPr="00284E23" w:rsidRDefault="00443D0D" w:rsidP="003E2B8F">
      <w:pPr>
        <w:pStyle w:val="a7"/>
        <w:spacing w:before="0" w:beforeAutospacing="0" w:after="0" w:afterAutospacing="0" w:line="276" w:lineRule="auto"/>
      </w:pPr>
    </w:p>
    <w:p w:rsidR="007D712B" w:rsidRPr="00284E23" w:rsidRDefault="007D712B" w:rsidP="003E2B8F">
      <w:pPr>
        <w:spacing w:after="0"/>
        <w:ind w:firstLine="567"/>
        <w:jc w:val="center"/>
        <w:rPr>
          <w:rFonts w:ascii="Times New Roman" w:hAnsi="Times New Roman" w:cs="Times New Roman"/>
          <w:b/>
          <w:sz w:val="24"/>
          <w:szCs w:val="24"/>
        </w:rPr>
      </w:pPr>
      <w:r w:rsidRPr="00284E23">
        <w:rPr>
          <w:rFonts w:ascii="Times New Roman" w:eastAsia="Calibri" w:hAnsi="Times New Roman" w:cs="Times New Roman"/>
          <w:b/>
          <w:sz w:val="24"/>
          <w:szCs w:val="24"/>
          <w:lang w:eastAsia="en-US"/>
        </w:rPr>
        <w:t xml:space="preserve">Основная часть:   </w:t>
      </w:r>
      <w:r w:rsidRPr="00284E23">
        <w:rPr>
          <w:rFonts w:ascii="Times New Roman" w:eastAsia="Calibri" w:hAnsi="Times New Roman" w:cs="Times New Roman"/>
          <w:b/>
          <w:sz w:val="24"/>
          <w:szCs w:val="24"/>
          <w:lang w:val="en-US" w:eastAsia="en-US"/>
        </w:rPr>
        <w:t>I</w:t>
      </w:r>
      <w:r w:rsidRPr="00284E23">
        <w:rPr>
          <w:rFonts w:ascii="Times New Roman" w:eastAsia="Calibri" w:hAnsi="Times New Roman" w:cs="Times New Roman"/>
          <w:b/>
          <w:sz w:val="24"/>
          <w:szCs w:val="24"/>
          <w:lang w:eastAsia="en-US"/>
        </w:rPr>
        <w:t xml:space="preserve">.  </w:t>
      </w:r>
      <w:r w:rsidRPr="00284E23">
        <w:rPr>
          <w:rFonts w:ascii="Times New Roman" w:hAnsi="Times New Roman" w:cs="Times New Roman"/>
          <w:b/>
          <w:sz w:val="24"/>
          <w:szCs w:val="24"/>
        </w:rPr>
        <w:t xml:space="preserve"> Общая характеристика НГДУ "Джалильнефть"</w:t>
      </w:r>
    </w:p>
    <w:p w:rsidR="00CA17AD" w:rsidRPr="00284E23" w:rsidRDefault="00CA17AD" w:rsidP="002803A6">
      <w:pPr>
        <w:spacing w:after="0"/>
        <w:rPr>
          <w:rFonts w:ascii="Times New Roman" w:hAnsi="Times New Roman" w:cs="Times New Roman"/>
          <w:b/>
          <w:sz w:val="24"/>
          <w:szCs w:val="24"/>
        </w:rPr>
      </w:pP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hAnsi="Times New Roman" w:cs="Times New Roman"/>
          <w:sz w:val="24"/>
          <w:szCs w:val="24"/>
        </w:rPr>
        <w:t xml:space="preserve">«Джалильнефть» - нефтегазодобывающее управление ОАО «Татнефть» по разработке нефтяных месторождений, добыче, подготовке и сдаче нефти, проектированию, строительству и эксплуатации объектов нефтяной и газовой промышленности. </w:t>
      </w:r>
      <w:r w:rsidR="0020196C" w:rsidRPr="00284E23">
        <w:rPr>
          <w:rFonts w:ascii="Times New Roman" w:hAnsi="Times New Roman" w:cs="Times New Roman"/>
          <w:sz w:val="24"/>
          <w:szCs w:val="24"/>
        </w:rPr>
        <w:t xml:space="preserve">Территория его деятельности охватывает четыре административных района Республики Татарстан:  Сармановский, Альметьевский, Азнакаевский и Заинский, </w:t>
      </w:r>
      <w:r w:rsidR="0020196C" w:rsidRPr="00284E23">
        <w:rPr>
          <w:rFonts w:ascii="Times New Roman" w:eastAsia="Calibri" w:hAnsi="Times New Roman" w:cs="Times New Roman"/>
          <w:sz w:val="24"/>
          <w:szCs w:val="24"/>
        </w:rPr>
        <w:t xml:space="preserve">площадью 1370 кв.км. </w:t>
      </w:r>
      <w:r w:rsidR="0020196C" w:rsidRPr="00284E23">
        <w:rPr>
          <w:rFonts w:ascii="Times New Roman" w:hAnsi="Times New Roman" w:cs="Times New Roman"/>
          <w:sz w:val="24"/>
          <w:szCs w:val="24"/>
        </w:rPr>
        <w:t>Эта территория богата плодородными пашнями, лесными массивами, множеством  водоемов; здесь расположены замечательные памятники природы – реки Мензеля и Иганя, Бухарайский сосновый бор.</w:t>
      </w:r>
    </w:p>
    <w:p w:rsidR="007D712B" w:rsidRPr="00284E23" w:rsidRDefault="007D712B" w:rsidP="002803A6">
      <w:pPr>
        <w:spacing w:after="0" w:line="240" w:lineRule="auto"/>
        <w:jc w:val="both"/>
        <w:rPr>
          <w:rFonts w:ascii="Times New Roman" w:eastAsia="Calibri" w:hAnsi="Times New Roman" w:cs="Times New Roman"/>
          <w:sz w:val="24"/>
          <w:szCs w:val="24"/>
        </w:rPr>
      </w:pPr>
      <w:r w:rsidRPr="00284E23">
        <w:rPr>
          <w:rFonts w:ascii="Times New Roman" w:hAnsi="Times New Roman" w:cs="Times New Roman"/>
          <w:sz w:val="24"/>
          <w:szCs w:val="24"/>
        </w:rPr>
        <w:t xml:space="preserve">       Сегодня НГДУ «Джалильнефть» разрабатывает 5 девонских площадей Ромашкинского месторождения (Чишминскую, Ташлиярскую, Сармановскую, Восточно-Сулеевскую, Алькеевскую) и залежи №12 и №31 бобриковского горизонта нижнего карбона. Основными эксплуатационными объектами разработки являются кыновский и пашийский горизонты верхнего девона. На их долю приходится более 75% от общей добычи нефти управления. </w:t>
      </w:r>
      <w:r w:rsidRPr="00284E23">
        <w:rPr>
          <w:rFonts w:ascii="Times New Roman" w:eastAsia="Calibri" w:hAnsi="Times New Roman" w:cs="Times New Roman"/>
          <w:sz w:val="24"/>
          <w:szCs w:val="24"/>
        </w:rPr>
        <w:t>Одновременно разрабатывается 2 горизонта: 1-ый - высокосернистой нефти на глубине в интервале 700 -1000 метров; 2-ой - девонской нефти 1200 -1600 метров глубины.</w:t>
      </w:r>
    </w:p>
    <w:p w:rsidR="007D712B" w:rsidRPr="00284E23" w:rsidRDefault="007D712B" w:rsidP="002803A6">
      <w:pPr>
        <w:spacing w:after="0" w:line="240" w:lineRule="auto"/>
        <w:ind w:firstLine="567"/>
        <w:jc w:val="both"/>
        <w:rPr>
          <w:rFonts w:ascii="Times New Roman" w:eastAsia="Calibri" w:hAnsi="Times New Roman" w:cs="Times New Roman"/>
          <w:sz w:val="24"/>
          <w:szCs w:val="24"/>
        </w:rPr>
      </w:pPr>
      <w:r w:rsidRPr="00284E23">
        <w:rPr>
          <w:rFonts w:ascii="Times New Roman" w:hAnsi="Times New Roman" w:cs="Times New Roman"/>
          <w:sz w:val="24"/>
          <w:szCs w:val="24"/>
        </w:rPr>
        <w:t>С начала эксплуатации из разрабатываемых месторождений добыто более 566  млн тонн нефти. Пик максимальной годовой добычи пришелся на 1977  год, тогда было отобрано 21,9 млн.т. нефти. Сейчас добывают  в 5 раз меньше.Общий пробуренный фонд скважин составляет 6685 единиц, из них добывающих 3404, нагнетательных 1645. Для добычи нефти в НГДУ</w:t>
      </w:r>
      <w:r w:rsidRPr="00284E23">
        <w:rPr>
          <w:rFonts w:ascii="Times New Roman" w:eastAsia="Calibri" w:hAnsi="Times New Roman" w:cs="Times New Roman"/>
          <w:sz w:val="24"/>
          <w:szCs w:val="24"/>
        </w:rPr>
        <w:t xml:space="preserve"> эксплуатируются316 ГЗУ (Групповые Замерные Установки), 25 ДНС (Дожимные Насосные Станции). Технологические  объекты связаны сетью нефтепроводов различного диаметра протяженностью более 4361 км. </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В настоящее время  НГДУ  "Джалильнефть" – это семь нефтегазодобывающих цехов (ЦДНГ),  два цеха поддержания пластового давления (ЦППД),  два цеха  комплексной подготовки и перекачки нефти (ЦКППН), два цеха подземного ремонта скважин (ЦПРС), цех автоматизаци</w:t>
      </w:r>
      <w:r w:rsidR="00CA17AD" w:rsidRPr="00284E23">
        <w:rPr>
          <w:rFonts w:ascii="Times New Roman" w:hAnsi="Times New Roman" w:cs="Times New Roman"/>
          <w:sz w:val="24"/>
          <w:szCs w:val="24"/>
        </w:rPr>
        <w:t>и производства (ЦАП) и отдел по борьбе с коррозией и охране природы</w:t>
      </w:r>
      <w:r w:rsidRPr="00284E23">
        <w:rPr>
          <w:rFonts w:ascii="Times New Roman" w:hAnsi="Times New Roman" w:cs="Times New Roman"/>
          <w:sz w:val="24"/>
          <w:szCs w:val="24"/>
        </w:rPr>
        <w:t>.</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Основными рабочими профессиями в НГДУ являются: оператор по добыче нефти, оператор по подземному ремонту скважин, машинист по закачке реагента, оператор по подготовке нефти, электрогазосварщики, электрики, слесари-ремонтники по р</w:t>
      </w:r>
      <w:r w:rsidR="00CA17AD" w:rsidRPr="00284E23">
        <w:rPr>
          <w:rFonts w:ascii="Times New Roman" w:hAnsi="Times New Roman" w:cs="Times New Roman"/>
          <w:sz w:val="24"/>
          <w:szCs w:val="24"/>
        </w:rPr>
        <w:t xml:space="preserve">емонту оборудования, водители. </w:t>
      </w:r>
      <w:r w:rsidRPr="00284E23">
        <w:rPr>
          <w:rFonts w:ascii="Times New Roman" w:hAnsi="Times New Roman" w:cs="Times New Roman"/>
          <w:sz w:val="24"/>
          <w:szCs w:val="24"/>
        </w:rPr>
        <w:t xml:space="preserve">Каждый пятый из молодых обладает высшим образованием.  В подразделениях НГДУ работают </w:t>
      </w:r>
      <w:r w:rsidRPr="00284E23">
        <w:rPr>
          <w:rFonts w:ascii="Times New Roman" w:hAnsi="Times New Roman" w:cs="Times New Roman"/>
          <w:iCs/>
          <w:sz w:val="24"/>
          <w:szCs w:val="24"/>
        </w:rPr>
        <w:t xml:space="preserve">257 </w:t>
      </w:r>
      <w:r w:rsidRPr="00284E23">
        <w:rPr>
          <w:rFonts w:ascii="Times New Roman" w:hAnsi="Times New Roman" w:cs="Times New Roman"/>
          <w:sz w:val="24"/>
          <w:szCs w:val="24"/>
        </w:rPr>
        <w:t>наставников, обучающих основам раб</w:t>
      </w:r>
      <w:r w:rsidR="00284E23">
        <w:rPr>
          <w:rFonts w:ascii="Times New Roman" w:hAnsi="Times New Roman" w:cs="Times New Roman"/>
          <w:sz w:val="24"/>
          <w:szCs w:val="24"/>
        </w:rPr>
        <w:t xml:space="preserve">очих профессий 391 подшефного. </w:t>
      </w:r>
    </w:p>
    <w:p w:rsidR="002803A6" w:rsidRDefault="002803A6" w:rsidP="002803A6">
      <w:pPr>
        <w:tabs>
          <w:tab w:val="left" w:pos="195"/>
          <w:tab w:val="center" w:pos="4677"/>
        </w:tabs>
        <w:spacing w:after="0" w:line="240" w:lineRule="auto"/>
        <w:ind w:firstLine="567"/>
        <w:jc w:val="center"/>
        <w:rPr>
          <w:rFonts w:ascii="Times New Roman" w:hAnsi="Times New Roman" w:cs="Times New Roman"/>
          <w:b/>
          <w:sz w:val="24"/>
          <w:szCs w:val="24"/>
        </w:rPr>
      </w:pPr>
    </w:p>
    <w:p w:rsidR="002803A6" w:rsidRDefault="002803A6" w:rsidP="002803A6">
      <w:pPr>
        <w:tabs>
          <w:tab w:val="left" w:pos="195"/>
          <w:tab w:val="center" w:pos="4677"/>
        </w:tabs>
        <w:spacing w:after="0" w:line="240" w:lineRule="auto"/>
        <w:ind w:firstLine="567"/>
        <w:jc w:val="center"/>
        <w:rPr>
          <w:rFonts w:ascii="Times New Roman" w:hAnsi="Times New Roman" w:cs="Times New Roman"/>
          <w:b/>
          <w:sz w:val="24"/>
          <w:szCs w:val="24"/>
        </w:rPr>
      </w:pPr>
    </w:p>
    <w:p w:rsidR="007D712B" w:rsidRPr="00284E23" w:rsidRDefault="007D712B" w:rsidP="002803A6">
      <w:pPr>
        <w:tabs>
          <w:tab w:val="left" w:pos="195"/>
          <w:tab w:val="center" w:pos="4677"/>
        </w:tabs>
        <w:spacing w:after="0" w:line="240" w:lineRule="auto"/>
        <w:ind w:firstLine="567"/>
        <w:jc w:val="center"/>
        <w:rPr>
          <w:rFonts w:ascii="Times New Roman" w:hAnsi="Times New Roman" w:cs="Times New Roman"/>
          <w:b/>
          <w:sz w:val="24"/>
          <w:szCs w:val="24"/>
        </w:rPr>
      </w:pPr>
      <w:r w:rsidRPr="00284E23">
        <w:rPr>
          <w:rFonts w:ascii="Times New Roman" w:hAnsi="Times New Roman" w:cs="Times New Roman"/>
          <w:b/>
          <w:sz w:val="24"/>
          <w:szCs w:val="24"/>
        </w:rPr>
        <w:lastRenderedPageBreak/>
        <w:t>Как происходит добыча нефти.</w:t>
      </w:r>
    </w:p>
    <w:p w:rsidR="007D712B" w:rsidRPr="00284E23" w:rsidRDefault="007D712B" w:rsidP="002803A6">
      <w:pPr>
        <w:tabs>
          <w:tab w:val="left" w:pos="195"/>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 xml:space="preserve">Сырая нефть взрывоопасна и почти не используется. Поэтому нефть перерабатывается в бензин, керосин, соляр, мазут. Из нефти получают пластмассы, полимеры, химические волокна и др. </w:t>
      </w:r>
    </w:p>
    <w:p w:rsidR="007D712B" w:rsidRPr="00284E23" w:rsidRDefault="007D712B" w:rsidP="002803A6">
      <w:pPr>
        <w:pStyle w:val="a7"/>
        <w:spacing w:before="0" w:beforeAutospacing="0" w:after="0" w:afterAutospacing="0"/>
        <w:ind w:firstLine="459"/>
        <w:jc w:val="both"/>
      </w:pPr>
      <w:r w:rsidRPr="00284E23">
        <w:t xml:space="preserve">Добычу нефти производят двумя способами: фонтанным и насосным. При фонтанном - нефть, находящаяся под давлением, сама поступает на поверхность. Этот способ дешевле. Насосный тип делится на ЭЦН (электроцентробежные насосы), ШГН (штангово-глубинные насосы), винтовые и диафрагменные, которые приводятся в действие с помощью электрической энергии. Для поддержания в рабочем состоянии скважинного и другого оборудования применяется специальная техника. </w:t>
      </w:r>
    </w:p>
    <w:p w:rsidR="007D712B" w:rsidRPr="00284E23" w:rsidRDefault="007D712B" w:rsidP="002803A6">
      <w:pPr>
        <w:pStyle w:val="a7"/>
        <w:spacing w:before="0" w:beforeAutospacing="0" w:after="0" w:afterAutospacing="0"/>
        <w:ind w:firstLine="459"/>
        <w:jc w:val="both"/>
        <w:rPr>
          <w:bCs/>
        </w:rPr>
      </w:pPr>
      <w:r w:rsidRPr="00284E23">
        <w:rPr>
          <w:bCs/>
        </w:rPr>
        <w:t>Производственный процесс добычи нефти - это комплекс следующих разнородных процессов:</w:t>
      </w:r>
    </w:p>
    <w:p w:rsidR="007D712B" w:rsidRPr="00284E23" w:rsidRDefault="007D712B" w:rsidP="002803A6">
      <w:pPr>
        <w:pStyle w:val="1"/>
        <w:ind w:firstLine="567"/>
        <w:jc w:val="both"/>
        <w:rPr>
          <w:b w:val="0"/>
          <w:bCs w:val="0"/>
        </w:rPr>
      </w:pPr>
      <w:r w:rsidRPr="00284E23">
        <w:rPr>
          <w:b w:val="0"/>
          <w:bCs w:val="0"/>
        </w:rPr>
        <w:t>1) монтаж и демонтаж механического и энергетического оборудования;</w:t>
      </w:r>
    </w:p>
    <w:p w:rsidR="007D712B" w:rsidRPr="00284E23" w:rsidRDefault="007D712B" w:rsidP="002803A6">
      <w:pPr>
        <w:pStyle w:val="1"/>
        <w:ind w:right="-1" w:firstLine="567"/>
        <w:jc w:val="both"/>
        <w:rPr>
          <w:b w:val="0"/>
          <w:bCs w:val="0"/>
        </w:rPr>
      </w:pPr>
      <w:r w:rsidRPr="00284E23">
        <w:rPr>
          <w:b w:val="0"/>
          <w:bCs w:val="0"/>
        </w:rPr>
        <w:t>2) исследование скважин и пластов;</w:t>
      </w:r>
    </w:p>
    <w:p w:rsidR="007D712B" w:rsidRPr="00284E23" w:rsidRDefault="007D712B" w:rsidP="002803A6">
      <w:pPr>
        <w:pStyle w:val="1"/>
        <w:ind w:firstLine="567"/>
        <w:jc w:val="both"/>
        <w:rPr>
          <w:b w:val="0"/>
          <w:bCs w:val="0"/>
        </w:rPr>
      </w:pPr>
      <w:r w:rsidRPr="00284E23">
        <w:rPr>
          <w:b w:val="0"/>
          <w:bCs w:val="0"/>
        </w:rPr>
        <w:t>3) нагнетание рабочего агента в пласт</w:t>
      </w:r>
    </w:p>
    <w:p w:rsidR="007D712B" w:rsidRPr="00284E23" w:rsidRDefault="007D712B" w:rsidP="002803A6">
      <w:pPr>
        <w:pStyle w:val="1"/>
        <w:ind w:firstLine="567"/>
        <w:jc w:val="both"/>
        <w:rPr>
          <w:b w:val="0"/>
          <w:bCs w:val="0"/>
        </w:rPr>
      </w:pPr>
      <w:r w:rsidRPr="00284E23">
        <w:rPr>
          <w:b w:val="0"/>
          <w:bCs w:val="0"/>
        </w:rPr>
        <w:t>4)  добыча нефти;</w:t>
      </w:r>
    </w:p>
    <w:p w:rsidR="007D712B" w:rsidRPr="00284E23" w:rsidRDefault="007D712B" w:rsidP="002803A6">
      <w:pPr>
        <w:spacing w:after="0" w:line="240" w:lineRule="auto"/>
        <w:ind w:firstLine="567"/>
        <w:jc w:val="both"/>
        <w:rPr>
          <w:rFonts w:ascii="Times New Roman" w:hAnsi="Times New Roman" w:cs="Times New Roman"/>
          <w:bCs/>
          <w:sz w:val="24"/>
          <w:szCs w:val="24"/>
        </w:rPr>
      </w:pPr>
      <w:r w:rsidRPr="00284E23">
        <w:rPr>
          <w:rFonts w:ascii="Times New Roman" w:hAnsi="Times New Roman" w:cs="Times New Roman"/>
          <w:bCs/>
          <w:sz w:val="24"/>
          <w:szCs w:val="24"/>
        </w:rPr>
        <w:t>5) комплексная подготовка и транспортировка нефти;</w:t>
      </w:r>
    </w:p>
    <w:p w:rsidR="007D712B" w:rsidRPr="00284E23" w:rsidRDefault="007D712B" w:rsidP="002803A6">
      <w:pPr>
        <w:spacing w:after="0" w:line="240" w:lineRule="auto"/>
        <w:ind w:firstLine="567"/>
        <w:jc w:val="both"/>
        <w:rPr>
          <w:rFonts w:ascii="Times New Roman" w:hAnsi="Times New Roman" w:cs="Times New Roman"/>
          <w:bCs/>
          <w:sz w:val="24"/>
          <w:szCs w:val="24"/>
        </w:rPr>
      </w:pPr>
      <w:r w:rsidRPr="00284E23">
        <w:rPr>
          <w:rFonts w:ascii="Times New Roman" w:hAnsi="Times New Roman" w:cs="Times New Roman"/>
          <w:bCs/>
          <w:sz w:val="24"/>
          <w:szCs w:val="24"/>
        </w:rPr>
        <w:t xml:space="preserve"> Нефть со скважины по нефтепроводу поступает на групповую замерную установку, где по скважинно измеряется добытая жидкость. Затем жидкость поступает в дожимную насосную станцию, в некоторых из которых происходит предварительный сброс воды. Далее жидкость поступает в цех для комплексной  подготовки и перекачки нефти, что включает в себя отстой от механических примесей, обезвоживание, обессоливание и стабилизацию. Оттуда товарная нефть уходит по нефтепроводам покупателям.</w:t>
      </w:r>
    </w:p>
    <w:p w:rsidR="007D712B" w:rsidRPr="00284E23" w:rsidRDefault="007D712B" w:rsidP="002803A6">
      <w:pPr>
        <w:spacing w:after="0" w:line="240" w:lineRule="auto"/>
        <w:ind w:firstLine="567"/>
        <w:jc w:val="both"/>
        <w:rPr>
          <w:rFonts w:ascii="Times New Roman" w:hAnsi="Times New Roman" w:cs="Times New Roman"/>
          <w:bCs/>
          <w:sz w:val="24"/>
          <w:szCs w:val="24"/>
        </w:rPr>
      </w:pPr>
      <w:r w:rsidRPr="00284E23">
        <w:rPr>
          <w:rFonts w:ascii="Times New Roman" w:hAnsi="Times New Roman" w:cs="Times New Roman"/>
          <w:bCs/>
          <w:sz w:val="24"/>
          <w:szCs w:val="24"/>
        </w:rPr>
        <w:t>Подготовленная нефть транспортируется по продуктовым трубопроводам в город Альметьевск на сооружение нефтепроводного управления и дальше в города Татарстана (Нижнекамск), России (Нижний Новгород, Подмосковье), Украины (Кременчуг) в зависимости от договоров на поставку сырья. В связи с трудностями транспортировки и составления выгодных договоров высокосернистой нефти в городе Нижнекамске  "Татнефть"  построил свой завод «Танеко» по переработке высокосернистой нефти, первая очередь которого уже заработал в 2010 году.</w:t>
      </w:r>
    </w:p>
    <w:p w:rsidR="007D712B" w:rsidRPr="00284E23" w:rsidRDefault="007D712B" w:rsidP="002803A6">
      <w:pPr>
        <w:tabs>
          <w:tab w:val="left" w:pos="195"/>
          <w:tab w:val="center" w:pos="4677"/>
        </w:tabs>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drawing>
          <wp:inline distT="0" distB="0" distL="0" distR="0">
            <wp:extent cx="3926840" cy="1674495"/>
            <wp:effectExtent l="19050" t="0" r="0" b="0"/>
            <wp:docPr id="4" name="Рисунок 26" descr="Доб и транс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Доб и трансп"/>
                    <pic:cNvPicPr>
                      <a:picLocks noChangeAspect="1" noChangeArrowheads="1"/>
                    </pic:cNvPicPr>
                  </pic:nvPicPr>
                  <pic:blipFill>
                    <a:blip r:embed="rId10"/>
                    <a:srcRect/>
                    <a:stretch>
                      <a:fillRect/>
                    </a:stretch>
                  </pic:blipFill>
                  <pic:spPr bwMode="auto">
                    <a:xfrm>
                      <a:off x="0" y="0"/>
                      <a:ext cx="3926840" cy="1674495"/>
                    </a:xfrm>
                    <a:prstGeom prst="rect">
                      <a:avLst/>
                    </a:prstGeom>
                    <a:noFill/>
                    <a:ln w="9525">
                      <a:noFill/>
                      <a:miter lim="800000"/>
                      <a:headEnd/>
                      <a:tailEnd/>
                    </a:ln>
                  </pic:spPr>
                </pic:pic>
              </a:graphicData>
            </a:graphic>
          </wp:inline>
        </w:drawing>
      </w:r>
    </w:p>
    <w:p w:rsidR="007D712B" w:rsidRPr="00284E23" w:rsidRDefault="00B5536D" w:rsidP="002803A6">
      <w:pPr>
        <w:tabs>
          <w:tab w:val="left" w:pos="195"/>
          <w:tab w:val="center" w:pos="4677"/>
        </w:tabs>
        <w:spacing w:after="0" w:line="240" w:lineRule="auto"/>
        <w:ind w:firstLine="567"/>
        <w:jc w:val="right"/>
        <w:rPr>
          <w:rFonts w:ascii="Times New Roman" w:hAnsi="Times New Roman" w:cs="Times New Roman"/>
          <w:sz w:val="24"/>
          <w:szCs w:val="24"/>
        </w:rPr>
      </w:pPr>
      <w:r>
        <w:rPr>
          <w:rFonts w:ascii="Times New Roman" w:hAnsi="Times New Roman" w:cs="Times New Roman"/>
          <w:noProof/>
          <w:sz w:val="24"/>
          <w:szCs w:val="24"/>
        </w:rPr>
        <w:t>Рис.1</w:t>
      </w:r>
      <w:r w:rsidR="007D712B" w:rsidRPr="00284E23">
        <w:rPr>
          <w:rFonts w:ascii="Times New Roman" w:hAnsi="Times New Roman" w:cs="Times New Roman"/>
          <w:noProof/>
          <w:sz w:val="24"/>
          <w:szCs w:val="24"/>
        </w:rPr>
        <w:t>. Добыча и транспорт нефти.</w:t>
      </w:r>
    </w:p>
    <w:p w:rsidR="007D712B" w:rsidRPr="00284E23" w:rsidRDefault="007D712B" w:rsidP="002803A6">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noProof/>
          <w:sz w:val="24"/>
          <w:szCs w:val="24"/>
        </w:rPr>
        <w:t>Расшифровка:</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н – нефть   г – газ    в – вода</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ГЗУ – групповая замерная установка</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ГУ – групповая установка</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ДНС – дожимная насосная станция</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КНС – кустовая насосная станция</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УПСВ – установка предварительного сброса воды</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УКППН- установки комплексной переработки и подготовки нефти</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АРНУ – Альметьевское районное нефтепроводное управление</w:t>
      </w:r>
    </w:p>
    <w:p w:rsidR="007D712B" w:rsidRPr="00284E23" w:rsidRDefault="007D712B" w:rsidP="002803A6">
      <w:pPr>
        <w:spacing w:after="0" w:line="240" w:lineRule="auto"/>
        <w:ind w:firstLine="567"/>
        <w:jc w:val="both"/>
        <w:rPr>
          <w:rFonts w:ascii="Times New Roman" w:hAnsi="Times New Roman" w:cs="Times New Roman"/>
          <w:noProof/>
          <w:sz w:val="24"/>
          <w:szCs w:val="24"/>
        </w:rPr>
      </w:pPr>
      <w:r w:rsidRPr="00284E23">
        <w:rPr>
          <w:rFonts w:ascii="Times New Roman" w:hAnsi="Times New Roman" w:cs="Times New Roman"/>
          <w:noProof/>
          <w:sz w:val="24"/>
          <w:szCs w:val="24"/>
        </w:rPr>
        <w:t>ГПЗ – газоперерабатывающий завод</w:t>
      </w:r>
    </w:p>
    <w:p w:rsidR="00806E96" w:rsidRPr="002803A6" w:rsidRDefault="00806E96" w:rsidP="002803A6">
      <w:pPr>
        <w:spacing w:after="0" w:line="240" w:lineRule="auto"/>
        <w:jc w:val="center"/>
        <w:rPr>
          <w:rFonts w:ascii="Times New Roman" w:eastAsia="Calibri" w:hAnsi="Times New Roman" w:cs="Times New Roman"/>
          <w:b/>
          <w:sz w:val="24"/>
          <w:szCs w:val="24"/>
          <w:lang w:eastAsia="en-US"/>
        </w:rPr>
      </w:pPr>
      <w:r w:rsidRPr="002803A6">
        <w:rPr>
          <w:rFonts w:ascii="Times New Roman" w:eastAsia="Calibri" w:hAnsi="Times New Roman" w:cs="Times New Roman"/>
          <w:b/>
          <w:sz w:val="24"/>
          <w:szCs w:val="24"/>
          <w:lang w:val="en-US" w:eastAsia="en-US"/>
        </w:rPr>
        <w:lastRenderedPageBreak/>
        <w:t>II</w:t>
      </w:r>
      <w:r w:rsidRPr="002803A6">
        <w:rPr>
          <w:rFonts w:ascii="Times New Roman" w:eastAsia="Calibri" w:hAnsi="Times New Roman" w:cs="Times New Roman"/>
          <w:b/>
          <w:sz w:val="24"/>
          <w:szCs w:val="24"/>
          <w:lang w:eastAsia="en-US"/>
        </w:rPr>
        <w:t>. Сущность понятия "коррозия"</w:t>
      </w:r>
    </w:p>
    <w:p w:rsidR="003E2B8F" w:rsidRPr="002803A6" w:rsidRDefault="003E2B8F" w:rsidP="002803A6">
      <w:pPr>
        <w:spacing w:after="0" w:line="240" w:lineRule="auto"/>
        <w:jc w:val="both"/>
        <w:rPr>
          <w:rFonts w:ascii="Times New Roman" w:eastAsia="Calibri" w:hAnsi="Times New Roman" w:cs="Times New Roman"/>
          <w:b/>
          <w:sz w:val="24"/>
          <w:szCs w:val="24"/>
          <w:lang w:eastAsia="en-US"/>
        </w:rPr>
      </w:pPr>
    </w:p>
    <w:p w:rsidR="00806E96" w:rsidRPr="002803A6" w:rsidRDefault="009E7CC7" w:rsidP="002803A6">
      <w:pPr>
        <w:pStyle w:val="a7"/>
        <w:spacing w:before="0" w:beforeAutospacing="0" w:after="0" w:afterAutospacing="0"/>
        <w:jc w:val="both"/>
      </w:pPr>
      <w:r>
        <w:t xml:space="preserve">         </w:t>
      </w:r>
      <w:r w:rsidR="00806E96" w:rsidRPr="002803A6">
        <w:t xml:space="preserve">Топливно-энергетический комплекс – основа развития всех отраслей экономики России. Важнейшим его элементом является система магистральных трубопроводов для транспорта нефти, газа и продуктов их переработки. </w:t>
      </w:r>
      <w:r w:rsidR="00CA5C41" w:rsidRPr="002803A6">
        <w:t xml:space="preserve">В настоящее время на территории России эксплуатируется 350 тыс. км промысловых трубопроводов. Ежегодно на нефтепромысловых трубопроводах происходит около 50-70 тыс. отказов. 90% отказов являются следствием коррозионных повреждений. Из общего числа аварий 50-55% приходится на долю систем нефтесбора и 30-35% - на долю коммуникаций поддержания пластового давления. 42% труб не выдерживают пятилетней эксплуатации, а 17% -даже двух лет. На ежегодную  замену  нефтепромысловых сетей расходуется 7-8 тыс. км труб или 400-500 тыс. тонн стали. </w:t>
      </w:r>
      <w:r w:rsidR="00806E96" w:rsidRPr="002803A6">
        <w:t xml:space="preserve">В настоящее время в НГДУ «Джалильнефть» находятся в эксплуатации 4191,9 км нефтесборных сетей.  </w:t>
      </w:r>
    </w:p>
    <w:p w:rsidR="00F3412C" w:rsidRPr="002803A6" w:rsidRDefault="00806E96" w:rsidP="002803A6">
      <w:pPr>
        <w:spacing w:after="0" w:line="240" w:lineRule="auto"/>
        <w:ind w:firstLine="284"/>
        <w:jc w:val="both"/>
        <w:rPr>
          <w:rFonts w:ascii="Times New Roman" w:hAnsi="Times New Roman" w:cs="Times New Roman"/>
          <w:sz w:val="24"/>
          <w:szCs w:val="24"/>
        </w:rPr>
      </w:pPr>
      <w:r w:rsidRPr="002803A6">
        <w:rPr>
          <w:rFonts w:ascii="Times New Roman" w:hAnsi="Times New Roman" w:cs="Times New Roman"/>
          <w:sz w:val="24"/>
          <w:szCs w:val="24"/>
          <w:shd w:val="clear" w:color="auto" w:fill="FFFFFF"/>
        </w:rPr>
        <w:t xml:space="preserve">      Коррозия может приводить к серьезным убыткам, производственным рискам, потере продукции, представляет угрозу безопасности</w:t>
      </w:r>
      <w:r w:rsidR="003E2B8F" w:rsidRPr="002803A6">
        <w:rPr>
          <w:rFonts w:ascii="Times New Roman" w:hAnsi="Times New Roman" w:cs="Times New Roman"/>
          <w:sz w:val="24"/>
          <w:szCs w:val="24"/>
          <w:shd w:val="clear" w:color="auto" w:fill="FFFFFF"/>
        </w:rPr>
        <w:t>.</w:t>
      </w:r>
      <w:r w:rsidR="00F3412C" w:rsidRPr="002803A6">
        <w:rPr>
          <w:rFonts w:ascii="Times New Roman" w:eastAsia="Times New Roman" w:hAnsi="Times New Roman" w:cs="Times New Roman"/>
          <w:sz w:val="24"/>
          <w:szCs w:val="24"/>
        </w:rPr>
        <w:t xml:space="preserve"> Приводит к уменьшению надежности работы оборудования, к простоям производства из-за замены вышедшего из строя оборудования, к потерям сырья и продукции. Коррозия так же приводит к загрязнению продукции, и к снижению ее качества.</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 xml:space="preserve">Проблема защиты металлов от коррозии, знакомые человечеству с древних времён по сей день остается чрезвычайно актуальной. </w:t>
      </w:r>
      <w:r w:rsidR="003E2B8F" w:rsidRPr="002803A6">
        <w:rPr>
          <w:rFonts w:ascii="Times New Roman" w:hAnsi="Times New Roman" w:cs="Times New Roman"/>
          <w:sz w:val="24"/>
          <w:szCs w:val="24"/>
        </w:rPr>
        <w:t>Ежегодные потери металлов из-</w:t>
      </w:r>
      <w:r w:rsidR="00376270" w:rsidRPr="002803A6">
        <w:rPr>
          <w:rFonts w:ascii="Times New Roman" w:hAnsi="Times New Roman" w:cs="Times New Roman"/>
          <w:sz w:val="24"/>
          <w:szCs w:val="24"/>
        </w:rPr>
        <w:t>за коррозии только в России составляют до 12% общей массы металлофонда, что соответствует утрате до 30% ежегодно производимого металла. Кроме связанных с коррозией прямых потерь, существуют еще большие косвенные потери. К ним относятся расходы, обусловленные потерей мощности металлического оборудования</w:t>
      </w:r>
      <w:r w:rsidR="003E2B8F" w:rsidRPr="002803A6">
        <w:rPr>
          <w:rFonts w:ascii="Times New Roman" w:hAnsi="Times New Roman" w:cs="Times New Roman"/>
          <w:sz w:val="24"/>
          <w:szCs w:val="24"/>
        </w:rPr>
        <w:t>, его вынужденными простоями из-</w:t>
      </w:r>
      <w:r w:rsidR="00376270" w:rsidRPr="002803A6">
        <w:rPr>
          <w:rFonts w:ascii="Times New Roman" w:hAnsi="Times New Roman" w:cs="Times New Roman"/>
          <w:sz w:val="24"/>
          <w:szCs w:val="24"/>
        </w:rPr>
        <w:t>за аварий, а также расходы на ликвидацию последствий аварий, часто носящих характер экологических катастроф. Суммарно в большинстве стран потери от коррозии составляют от 4 до 6% национального дохода.</w:t>
      </w:r>
      <w:r w:rsidRPr="002803A6">
        <w:rPr>
          <w:rFonts w:ascii="Times New Roman" w:eastAsia="Times New Roman" w:hAnsi="Times New Roman" w:cs="Times New Roman"/>
          <w:sz w:val="24"/>
          <w:szCs w:val="24"/>
        </w:rPr>
        <w:t>Ежегодные потери из-за коррозии составляет от 20 до 30 млн. тон металла. Прямой экономический ущерб от неё исчисляется сотнями миллиардов долларов в год. В связи с этим исследование механизма коррозии и разработка методов защиты от неё имеют большое значение.</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Коррозия -</w:t>
      </w:r>
      <w:r w:rsidRPr="002803A6">
        <w:rPr>
          <w:rFonts w:ascii="Times New Roman" w:eastAsia="Times New Roman" w:hAnsi="Times New Roman" w:cs="Times New Roman"/>
          <w:b/>
          <w:bCs/>
          <w:sz w:val="24"/>
          <w:szCs w:val="24"/>
        </w:rPr>
        <w:t> это разрушение металла под действием внешней среды</w:t>
      </w:r>
      <w:r w:rsidRPr="002803A6">
        <w:rPr>
          <w:rFonts w:ascii="Times New Roman" w:eastAsia="Times New Roman" w:hAnsi="Times New Roman" w:cs="Times New Roman"/>
          <w:sz w:val="24"/>
          <w:szCs w:val="24"/>
        </w:rPr>
        <w:t>.</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Коррозия - это окислительно-восстановительный процесс, при котором атомы металлов переходят в ионы (идет процесс окисления)</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В роли окислителя, как правило, выступают</w:t>
      </w:r>
    </w:p>
    <w:p w:rsidR="00F3412C" w:rsidRPr="002803A6" w:rsidRDefault="00F3412C" w:rsidP="002803A6">
      <w:pPr>
        <w:numPr>
          <w:ilvl w:val="0"/>
          <w:numId w:val="5"/>
        </w:num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O</w:t>
      </w:r>
      <w:r w:rsidRPr="002803A6">
        <w:rPr>
          <w:rFonts w:ascii="Times New Roman" w:eastAsia="Times New Roman" w:hAnsi="Times New Roman" w:cs="Times New Roman"/>
          <w:sz w:val="24"/>
          <w:szCs w:val="24"/>
          <w:vertAlign w:val="subscript"/>
        </w:rPr>
        <w:t>2 и H</w:t>
      </w:r>
      <w:r w:rsidRPr="002803A6">
        <w:rPr>
          <w:rFonts w:ascii="Times New Roman" w:eastAsia="Times New Roman" w:hAnsi="Times New Roman" w:cs="Times New Roman"/>
          <w:sz w:val="24"/>
          <w:szCs w:val="24"/>
          <w:vertAlign w:val="superscript"/>
        </w:rPr>
        <w:t>+</w:t>
      </w:r>
    </w:p>
    <w:p w:rsidR="00F3412C" w:rsidRPr="002803A6" w:rsidRDefault="00F3412C" w:rsidP="002803A6">
      <w:pPr>
        <w:numPr>
          <w:ilvl w:val="0"/>
          <w:numId w:val="5"/>
        </w:num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Fe-2e -&gt;Fe</w:t>
      </w:r>
      <w:r w:rsidRPr="002803A6">
        <w:rPr>
          <w:rFonts w:ascii="Times New Roman" w:eastAsia="Times New Roman" w:hAnsi="Times New Roman" w:cs="Times New Roman"/>
          <w:sz w:val="24"/>
          <w:szCs w:val="24"/>
          <w:vertAlign w:val="superscript"/>
        </w:rPr>
        <w:t>+2</w:t>
      </w:r>
    </w:p>
    <w:p w:rsidR="00F3412C" w:rsidRPr="002803A6" w:rsidRDefault="00F3412C" w:rsidP="002803A6">
      <w:pPr>
        <w:numPr>
          <w:ilvl w:val="0"/>
          <w:numId w:val="5"/>
        </w:num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Cu</w:t>
      </w:r>
      <w:r w:rsidRPr="002803A6">
        <w:rPr>
          <w:rFonts w:ascii="Times New Roman" w:eastAsia="Times New Roman" w:hAnsi="Times New Roman" w:cs="Times New Roman"/>
          <w:sz w:val="24"/>
          <w:szCs w:val="24"/>
          <w:vertAlign w:val="superscript"/>
        </w:rPr>
        <w:t>0-</w:t>
      </w:r>
      <w:r w:rsidRPr="002803A6">
        <w:rPr>
          <w:rFonts w:ascii="Times New Roman" w:eastAsia="Times New Roman" w:hAnsi="Times New Roman" w:cs="Times New Roman"/>
          <w:sz w:val="24"/>
          <w:szCs w:val="24"/>
        </w:rPr>
        <w:t>2e -&gt; Cu</w:t>
      </w:r>
      <w:r w:rsidRPr="002803A6">
        <w:rPr>
          <w:rFonts w:ascii="Times New Roman" w:eastAsia="Times New Roman" w:hAnsi="Times New Roman" w:cs="Times New Roman"/>
          <w:sz w:val="24"/>
          <w:szCs w:val="24"/>
          <w:vertAlign w:val="superscript"/>
        </w:rPr>
        <w:t>+2</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b/>
          <w:bCs/>
          <w:i/>
          <w:iCs/>
          <w:sz w:val="24"/>
          <w:szCs w:val="24"/>
        </w:rPr>
        <w:t>2. Виды коррозии.</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Коррозия от латинского :. - разъедать.По механизму протекания разрушений различают 2 типа коррозии: </w:t>
      </w:r>
      <w:r w:rsidRPr="002803A6">
        <w:rPr>
          <w:rFonts w:ascii="Times New Roman" w:eastAsia="Times New Roman" w:hAnsi="Times New Roman" w:cs="Times New Roman"/>
          <w:b/>
          <w:bCs/>
          <w:sz w:val="24"/>
          <w:szCs w:val="24"/>
        </w:rPr>
        <w:t>химическую </w:t>
      </w:r>
      <w:r w:rsidRPr="002803A6">
        <w:rPr>
          <w:rFonts w:ascii="Times New Roman" w:eastAsia="Times New Roman" w:hAnsi="Times New Roman" w:cs="Times New Roman"/>
          <w:sz w:val="24"/>
          <w:szCs w:val="24"/>
        </w:rPr>
        <w:t>и </w:t>
      </w:r>
      <w:r w:rsidRPr="002803A6">
        <w:rPr>
          <w:rFonts w:ascii="Times New Roman" w:eastAsia="Times New Roman" w:hAnsi="Times New Roman" w:cs="Times New Roman"/>
          <w:b/>
          <w:bCs/>
          <w:sz w:val="24"/>
          <w:szCs w:val="24"/>
        </w:rPr>
        <w:t>электрохимическую.</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i/>
          <w:iCs/>
          <w:sz w:val="24"/>
          <w:szCs w:val="24"/>
        </w:rPr>
        <w:t>Химическая коррозия </w:t>
      </w:r>
      <w:r w:rsidRPr="002803A6">
        <w:rPr>
          <w:rFonts w:ascii="Times New Roman" w:eastAsia="Times New Roman" w:hAnsi="Times New Roman" w:cs="Times New Roman"/>
          <w:sz w:val="24"/>
          <w:szCs w:val="24"/>
        </w:rPr>
        <w:t>- это разрушение металлов в результате взаимодействия их с сухими газами или жидкостями, не проводящими электрический ток (в газах, нефти), при высоких температурах, когда невозможна конденсация водяного пара. Ей подвергаются арматура печей, детали двигателей внутреннего сгорания, лопатки газовых турбин, аппаратура химической отрасли промышленности.</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Например:</w:t>
      </w:r>
    </w:p>
    <w:p w:rsidR="00F3412C" w:rsidRPr="002803A6" w:rsidRDefault="00F3412C" w:rsidP="002803A6">
      <w:pPr>
        <w:numPr>
          <w:ilvl w:val="0"/>
          <w:numId w:val="6"/>
        </w:num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2Fe</w:t>
      </w:r>
      <w:r w:rsidRPr="002803A6">
        <w:rPr>
          <w:rFonts w:ascii="Times New Roman" w:eastAsia="Times New Roman" w:hAnsi="Times New Roman" w:cs="Times New Roman"/>
          <w:sz w:val="24"/>
          <w:szCs w:val="24"/>
          <w:vertAlign w:val="superscript"/>
        </w:rPr>
        <w:t>0</w:t>
      </w:r>
      <w:r w:rsidRPr="002803A6">
        <w:rPr>
          <w:rFonts w:ascii="Times New Roman" w:eastAsia="Times New Roman" w:hAnsi="Times New Roman" w:cs="Times New Roman"/>
          <w:sz w:val="24"/>
          <w:szCs w:val="24"/>
        </w:rPr>
        <w:t>+3Cl</w:t>
      </w:r>
      <w:r w:rsidRPr="002803A6">
        <w:rPr>
          <w:rFonts w:ascii="Times New Roman" w:eastAsia="Times New Roman" w:hAnsi="Times New Roman" w:cs="Times New Roman"/>
          <w:sz w:val="24"/>
          <w:szCs w:val="24"/>
          <w:vertAlign w:val="subscript"/>
        </w:rPr>
        <w:t>2</w:t>
      </w:r>
      <w:r w:rsidRPr="002803A6">
        <w:rPr>
          <w:rFonts w:ascii="Times New Roman" w:eastAsia="Times New Roman" w:hAnsi="Times New Roman" w:cs="Times New Roman"/>
          <w:sz w:val="24"/>
          <w:szCs w:val="24"/>
          <w:vertAlign w:val="superscript"/>
        </w:rPr>
        <w:t>0  -&gt;</w:t>
      </w:r>
      <w:r w:rsidRPr="002803A6">
        <w:rPr>
          <w:rFonts w:ascii="Times New Roman" w:eastAsia="Times New Roman" w:hAnsi="Times New Roman" w:cs="Times New Roman"/>
          <w:sz w:val="24"/>
          <w:szCs w:val="24"/>
          <w:u w:val="single"/>
          <w:vertAlign w:val="superscript"/>
        </w:rPr>
        <w:t> </w:t>
      </w:r>
      <w:r w:rsidRPr="002803A6">
        <w:rPr>
          <w:rFonts w:ascii="Times New Roman" w:eastAsia="Times New Roman" w:hAnsi="Times New Roman" w:cs="Times New Roman"/>
          <w:sz w:val="24"/>
          <w:szCs w:val="24"/>
        </w:rPr>
        <w:t>2Fe</w:t>
      </w:r>
      <w:r w:rsidRPr="002803A6">
        <w:rPr>
          <w:rFonts w:ascii="Times New Roman" w:eastAsia="Times New Roman" w:hAnsi="Times New Roman" w:cs="Times New Roman"/>
          <w:sz w:val="24"/>
          <w:szCs w:val="24"/>
          <w:vertAlign w:val="superscript"/>
        </w:rPr>
        <w:t>+3</w:t>
      </w:r>
      <w:r w:rsidRPr="002803A6">
        <w:rPr>
          <w:rFonts w:ascii="Times New Roman" w:eastAsia="Times New Roman" w:hAnsi="Times New Roman" w:cs="Times New Roman"/>
          <w:sz w:val="24"/>
          <w:szCs w:val="24"/>
        </w:rPr>
        <w:t>Cl</w:t>
      </w:r>
      <w:r w:rsidRPr="002803A6">
        <w:rPr>
          <w:rFonts w:ascii="Times New Roman" w:eastAsia="Times New Roman" w:hAnsi="Times New Roman" w:cs="Times New Roman"/>
          <w:sz w:val="24"/>
          <w:szCs w:val="24"/>
          <w:vertAlign w:val="subscript"/>
        </w:rPr>
        <w:t>3</w:t>
      </w:r>
    </w:p>
    <w:p w:rsidR="00F3412C" w:rsidRPr="002803A6" w:rsidRDefault="00F3412C" w:rsidP="002803A6">
      <w:pPr>
        <w:numPr>
          <w:ilvl w:val="0"/>
          <w:numId w:val="6"/>
        </w:num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3Fe+2O</w:t>
      </w:r>
      <w:r w:rsidRPr="002803A6">
        <w:rPr>
          <w:rFonts w:ascii="Times New Roman" w:eastAsia="Times New Roman" w:hAnsi="Times New Roman" w:cs="Times New Roman"/>
          <w:sz w:val="24"/>
          <w:szCs w:val="24"/>
          <w:vertAlign w:val="subscript"/>
        </w:rPr>
        <w:t>2 </w:t>
      </w:r>
      <w:r w:rsidRPr="002803A6">
        <w:rPr>
          <w:rFonts w:ascii="Times New Roman" w:eastAsia="Times New Roman" w:hAnsi="Times New Roman" w:cs="Times New Roman"/>
          <w:sz w:val="24"/>
          <w:szCs w:val="24"/>
        </w:rPr>
        <w:t>-&gt; Fe</w:t>
      </w:r>
      <w:r w:rsidRPr="002803A6">
        <w:rPr>
          <w:rFonts w:ascii="Times New Roman" w:eastAsia="Times New Roman" w:hAnsi="Times New Roman" w:cs="Times New Roman"/>
          <w:sz w:val="24"/>
          <w:szCs w:val="24"/>
          <w:vertAlign w:val="subscript"/>
        </w:rPr>
        <w:t>3</w:t>
      </w:r>
      <w:r w:rsidRPr="002803A6">
        <w:rPr>
          <w:rFonts w:ascii="Times New Roman" w:eastAsia="Times New Roman" w:hAnsi="Times New Roman" w:cs="Times New Roman"/>
          <w:sz w:val="24"/>
          <w:szCs w:val="24"/>
        </w:rPr>
        <w:t>O</w:t>
      </w:r>
      <w:r w:rsidRPr="002803A6">
        <w:rPr>
          <w:rFonts w:ascii="Times New Roman" w:eastAsia="Times New Roman" w:hAnsi="Times New Roman" w:cs="Times New Roman"/>
          <w:sz w:val="24"/>
          <w:szCs w:val="24"/>
          <w:vertAlign w:val="subscript"/>
        </w:rPr>
        <w:t>4</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При химической коррозии электроны переходят от металла к окислителю непосредственно.</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i/>
          <w:iCs/>
          <w:sz w:val="24"/>
          <w:szCs w:val="24"/>
        </w:rPr>
        <w:lastRenderedPageBreak/>
        <w:t>Электрохимическая коррозия </w:t>
      </w:r>
      <w:r w:rsidRPr="002803A6">
        <w:rPr>
          <w:rFonts w:ascii="Times New Roman" w:eastAsia="Times New Roman" w:hAnsi="Times New Roman" w:cs="Times New Roman"/>
          <w:sz w:val="24"/>
          <w:szCs w:val="24"/>
        </w:rPr>
        <w:t>- это разрушение металлов при контакте двух металлов в воде или среде электролита. Электрохимическая коррозия распространена значительно шире, чем химическая. Ей подвергаются подводные части судов в морской и пресной воде, паровые котлы, металлические сооружения и конструкции под водой и в атмосфере, проложенные в грунте трубопроводы и др.</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При электрохимической коррозии окислительно- восстановительная реакция разбивается на полу реакции окисления и восстановления и электроны переходят по металлу от восстановителя к окислителю, наряду с химическим процессом идет электрический -перенос электрона, то есть возникает электрический ток.</w:t>
      </w:r>
    </w:p>
    <w:tbl>
      <w:tblPr>
        <w:tblW w:w="0" w:type="auto"/>
        <w:tblCellMar>
          <w:top w:w="105" w:type="dxa"/>
          <w:left w:w="105" w:type="dxa"/>
          <w:bottom w:w="105" w:type="dxa"/>
          <w:right w:w="105" w:type="dxa"/>
        </w:tblCellMar>
        <w:tblLook w:val="04A0" w:firstRow="1" w:lastRow="0" w:firstColumn="1" w:lastColumn="0" w:noHBand="0" w:noVBand="1"/>
      </w:tblPr>
      <w:tblGrid>
        <w:gridCol w:w="1584"/>
        <w:gridCol w:w="1963"/>
      </w:tblGrid>
      <w:tr w:rsidR="00284E23" w:rsidRPr="002803A6" w:rsidTr="003E2B8F">
        <w:tc>
          <w:tcPr>
            <w:tcW w:w="0" w:type="auto"/>
            <w:shd w:val="clear" w:color="auto" w:fill="auto"/>
            <w:tcMar>
              <w:top w:w="0" w:type="dxa"/>
              <w:left w:w="0" w:type="dxa"/>
              <w:bottom w:w="0" w:type="dxa"/>
              <w:right w:w="0" w:type="dxa"/>
            </w:tcMar>
            <w:hideMark/>
          </w:tcPr>
          <w:p w:rsidR="00F3412C" w:rsidRPr="002803A6" w:rsidRDefault="00F3412C" w:rsidP="002803A6">
            <w:pPr>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A (+) на железе</w:t>
            </w:r>
          </w:p>
        </w:tc>
        <w:tc>
          <w:tcPr>
            <w:tcW w:w="0" w:type="auto"/>
            <w:shd w:val="clear" w:color="auto" w:fill="auto"/>
            <w:tcMar>
              <w:top w:w="0" w:type="dxa"/>
              <w:left w:w="0" w:type="dxa"/>
              <w:bottom w:w="0" w:type="dxa"/>
              <w:right w:w="0" w:type="dxa"/>
            </w:tcMar>
            <w:hideMark/>
          </w:tcPr>
          <w:p w:rsidR="00F3412C" w:rsidRPr="002803A6" w:rsidRDefault="00F3412C" w:rsidP="002803A6">
            <w:pPr>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на меди К (-)</w:t>
            </w:r>
          </w:p>
        </w:tc>
      </w:tr>
      <w:tr w:rsidR="00284E23" w:rsidRPr="002803A6" w:rsidTr="003E2B8F">
        <w:tc>
          <w:tcPr>
            <w:tcW w:w="0" w:type="auto"/>
            <w:shd w:val="clear" w:color="auto" w:fill="auto"/>
            <w:tcMar>
              <w:top w:w="0" w:type="dxa"/>
              <w:left w:w="0" w:type="dxa"/>
              <w:bottom w:w="0" w:type="dxa"/>
              <w:right w:w="0" w:type="dxa"/>
            </w:tcMar>
            <w:hideMark/>
          </w:tcPr>
          <w:p w:rsidR="00F3412C" w:rsidRPr="002803A6" w:rsidRDefault="00F3412C" w:rsidP="002803A6">
            <w:pPr>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Fe </w:t>
            </w:r>
            <w:r w:rsidRPr="002803A6">
              <w:rPr>
                <w:rFonts w:ascii="Times New Roman" w:eastAsia="Times New Roman" w:hAnsi="Times New Roman" w:cs="Times New Roman"/>
                <w:sz w:val="24"/>
                <w:szCs w:val="24"/>
                <w:vertAlign w:val="superscript"/>
              </w:rPr>
              <w:t>0-</w:t>
            </w:r>
            <w:r w:rsidRPr="002803A6">
              <w:rPr>
                <w:rFonts w:ascii="Times New Roman" w:eastAsia="Times New Roman" w:hAnsi="Times New Roman" w:cs="Times New Roman"/>
                <w:sz w:val="24"/>
                <w:szCs w:val="24"/>
              </w:rPr>
              <w:t>2e=Fe </w:t>
            </w:r>
            <w:r w:rsidRPr="002803A6">
              <w:rPr>
                <w:rFonts w:ascii="Times New Roman" w:eastAsia="Times New Roman" w:hAnsi="Times New Roman" w:cs="Times New Roman"/>
                <w:sz w:val="24"/>
                <w:szCs w:val="24"/>
                <w:vertAlign w:val="superscript"/>
              </w:rPr>
              <w:t>2+</w:t>
            </w:r>
          </w:p>
        </w:tc>
        <w:tc>
          <w:tcPr>
            <w:tcW w:w="0" w:type="auto"/>
            <w:shd w:val="clear" w:color="auto" w:fill="auto"/>
            <w:tcMar>
              <w:top w:w="0" w:type="dxa"/>
              <w:left w:w="0" w:type="dxa"/>
              <w:bottom w:w="0" w:type="dxa"/>
              <w:right w:w="0" w:type="dxa"/>
            </w:tcMar>
            <w:hideMark/>
          </w:tcPr>
          <w:p w:rsidR="00F3412C" w:rsidRPr="002803A6" w:rsidRDefault="00F3412C" w:rsidP="002803A6">
            <w:pPr>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2H </w:t>
            </w:r>
            <w:r w:rsidRPr="002803A6">
              <w:rPr>
                <w:rFonts w:ascii="Times New Roman" w:eastAsia="Times New Roman" w:hAnsi="Times New Roman" w:cs="Times New Roman"/>
                <w:sz w:val="24"/>
                <w:szCs w:val="24"/>
                <w:vertAlign w:val="superscript"/>
              </w:rPr>
              <w:t>+</w:t>
            </w:r>
            <w:r w:rsidRPr="002803A6">
              <w:rPr>
                <w:rFonts w:ascii="Times New Roman" w:eastAsia="Times New Roman" w:hAnsi="Times New Roman" w:cs="Times New Roman"/>
                <w:sz w:val="24"/>
                <w:szCs w:val="24"/>
              </w:rPr>
              <w:t> +2e=2H </w:t>
            </w:r>
            <w:r w:rsidRPr="002803A6">
              <w:rPr>
                <w:rFonts w:ascii="Times New Roman" w:eastAsia="Times New Roman" w:hAnsi="Times New Roman" w:cs="Times New Roman"/>
                <w:sz w:val="24"/>
                <w:szCs w:val="24"/>
                <w:vertAlign w:val="superscript"/>
              </w:rPr>
              <w:t>0</w:t>
            </w:r>
            <w:r w:rsidRPr="002803A6">
              <w:rPr>
                <w:rFonts w:ascii="Times New Roman" w:eastAsia="Times New Roman" w:hAnsi="Times New Roman" w:cs="Times New Roman"/>
                <w:sz w:val="24"/>
                <w:szCs w:val="24"/>
              </w:rPr>
              <w:t> &gt;H</w:t>
            </w:r>
            <w:r w:rsidRPr="002803A6">
              <w:rPr>
                <w:rFonts w:ascii="Times New Roman" w:eastAsia="Times New Roman" w:hAnsi="Times New Roman" w:cs="Times New Roman"/>
                <w:sz w:val="24"/>
                <w:szCs w:val="24"/>
                <w:vertAlign w:val="subscript"/>
              </w:rPr>
              <w:t>2</w:t>
            </w:r>
            <w:r w:rsidRPr="002803A6">
              <w:rPr>
                <w:rFonts w:ascii="Times New Roman" w:eastAsia="Times New Roman" w:hAnsi="Times New Roman" w:cs="Times New Roman"/>
                <w:sz w:val="24"/>
                <w:szCs w:val="24"/>
                <w:vertAlign w:val="superscript"/>
              </w:rPr>
              <w:t>0</w:t>
            </w:r>
          </w:p>
        </w:tc>
      </w:tr>
    </w:tbl>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Коррозия железа, находящегося в контакте с медью и раствором слабой кислоты.</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Этот вид коррозии приносит большой вред!</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b/>
          <w:sz w:val="24"/>
          <w:szCs w:val="24"/>
        </w:rPr>
        <w:t>3. Условия, способствующие электрохимической коррозии</w:t>
      </w:r>
      <w:r w:rsidRPr="002803A6">
        <w:rPr>
          <w:rFonts w:ascii="Times New Roman" w:eastAsia="Times New Roman" w:hAnsi="Times New Roman" w:cs="Times New Roman"/>
          <w:sz w:val="24"/>
          <w:szCs w:val="24"/>
        </w:rPr>
        <w:t>:</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а) положение металлов в ряду напряжений, чем дальше расположены металлы друг от друга в ряду, тем быстрее происходит коррозия;</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б) чистота металла (с примесями металлы быстрее подвергаются коррозии);</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в) неровность поверхности металла, трещины;</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г) блуждающие токи;</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д) грунтовые воды;</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е) среда электролита (наличие раствора сильного электролита, например, м</w:t>
      </w:r>
      <w:r w:rsidR="002803A6">
        <w:rPr>
          <w:rFonts w:ascii="Times New Roman" w:eastAsia="Times New Roman" w:hAnsi="Times New Roman" w:cs="Times New Roman"/>
          <w:sz w:val="24"/>
          <w:szCs w:val="24"/>
        </w:rPr>
        <w:t>орская вода, усиливает коррозию</w:t>
      </w:r>
      <w:r w:rsidRPr="002803A6">
        <w:rPr>
          <w:rFonts w:ascii="Times New Roman" w:eastAsia="Times New Roman" w:hAnsi="Times New Roman" w:cs="Times New Roman"/>
          <w:sz w:val="24"/>
          <w:szCs w:val="24"/>
        </w:rPr>
        <w:t>);</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ж) повышение температуры тоже способствует коррозии;</w:t>
      </w:r>
    </w:p>
    <w:p w:rsidR="00F3412C" w:rsidRPr="002803A6" w:rsidRDefault="00F3412C"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з) одним из важнейших факторов влияющих на электрохимическую коррозию, является действие микроорганизмов.</w:t>
      </w:r>
    </w:p>
    <w:p w:rsidR="00806E96" w:rsidRPr="002803A6" w:rsidRDefault="00F3412C" w:rsidP="002803A6">
      <w:pPr>
        <w:spacing w:after="0" w:line="240" w:lineRule="auto"/>
        <w:ind w:firstLine="284"/>
        <w:jc w:val="both"/>
        <w:rPr>
          <w:rFonts w:ascii="Times New Roman" w:hAnsi="Times New Roman" w:cs="Times New Roman"/>
          <w:sz w:val="24"/>
          <w:szCs w:val="24"/>
        </w:rPr>
      </w:pPr>
      <w:r w:rsidRPr="002803A6">
        <w:rPr>
          <w:rFonts w:ascii="Times New Roman" w:eastAsia="Times New Roman" w:hAnsi="Times New Roman" w:cs="Times New Roman"/>
          <w:sz w:val="24"/>
          <w:szCs w:val="24"/>
        </w:rPr>
        <w:t>По данным зарубежных исследований, на счет микроорганизмов может быть отнесено до 75% всех потерь от коррозии, а в нефтедобывающей промышленности даже 80%. Процесс коррозии, идущий под действием бактерий и грибов, называют биокоррозией</w:t>
      </w:r>
    </w:p>
    <w:p w:rsidR="00806E96" w:rsidRPr="002803A6" w:rsidRDefault="0089411E" w:rsidP="002803A6">
      <w:pPr>
        <w:spacing w:after="0" w:line="240" w:lineRule="auto"/>
        <w:ind w:firstLine="284"/>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Прииспользование металлических материалов очень важен вопрос о скорости их коррозии, от чего зависит скорость коррозии?</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1. Коррозия железа резко усиливается в присутствии кислорода.</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2. Коррозия усиливается, если железо соприкасается с более активным металлом.</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3. Скорость коррозии зависит от состава омывающей металл среды, хлорид ионы усиливают коррозию железа.</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4. Коррозия железа ослабляется в присутствии гидроксид-фосфат, хромат -ионов.</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Великий Гёте сказал : "Просто знать - еще не всё, знания нужно уметь использовать !"</w:t>
      </w:r>
    </w:p>
    <w:p w:rsidR="0089411E" w:rsidRPr="002803A6"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5. Нейтрализация тока, возникающего при коррозии, постоянным током, пропускаемым в противоположном направлении. Так обычно защищают трубы нефтепровода, газопровода. Ни в коем случае нельзя перепутать полюсы тока, ошибки должны быть исключены.</w:t>
      </w:r>
    </w:p>
    <w:p w:rsidR="0089411E" w:rsidRPr="00284E23" w:rsidRDefault="0089411E" w:rsidP="002803A6">
      <w:pPr>
        <w:shd w:val="clear" w:color="auto" w:fill="FFFFFF"/>
        <w:spacing w:after="0" w:line="240" w:lineRule="auto"/>
        <w:jc w:val="both"/>
        <w:rPr>
          <w:rFonts w:ascii="Times New Roman" w:eastAsia="Times New Roman" w:hAnsi="Times New Roman" w:cs="Times New Roman"/>
          <w:sz w:val="24"/>
          <w:szCs w:val="24"/>
        </w:rPr>
      </w:pPr>
      <w:r w:rsidRPr="002803A6">
        <w:rPr>
          <w:rFonts w:ascii="Times New Roman" w:eastAsia="Times New Roman" w:hAnsi="Times New Roman" w:cs="Times New Roman"/>
          <w:sz w:val="24"/>
          <w:szCs w:val="24"/>
        </w:rPr>
        <w:t>6. Добавление ингибиторов. Использование замедлителей коррозии (органические и неорганические вещества )</w:t>
      </w:r>
    </w:p>
    <w:p w:rsidR="0089411E" w:rsidRPr="00284E23" w:rsidRDefault="0089411E" w:rsidP="00510B62">
      <w:pPr>
        <w:spacing w:after="0" w:line="240" w:lineRule="auto"/>
        <w:ind w:firstLine="284"/>
        <w:jc w:val="both"/>
        <w:rPr>
          <w:rFonts w:ascii="Times New Roman" w:hAnsi="Times New Roman" w:cs="Times New Roman"/>
          <w:sz w:val="24"/>
          <w:szCs w:val="24"/>
        </w:rPr>
      </w:pPr>
    </w:p>
    <w:p w:rsidR="00612984" w:rsidRPr="00284E23" w:rsidRDefault="00612984" w:rsidP="00510B62">
      <w:pPr>
        <w:spacing w:after="0" w:line="240" w:lineRule="auto"/>
        <w:jc w:val="center"/>
        <w:rPr>
          <w:rFonts w:ascii="Times New Roman" w:eastAsia="Calibri" w:hAnsi="Times New Roman" w:cs="Times New Roman"/>
          <w:b/>
          <w:sz w:val="24"/>
          <w:szCs w:val="24"/>
          <w:lang w:eastAsia="en-US"/>
        </w:rPr>
      </w:pPr>
      <w:r w:rsidRPr="00284E23">
        <w:rPr>
          <w:rFonts w:ascii="Times New Roman" w:eastAsia="Calibri" w:hAnsi="Times New Roman" w:cs="Times New Roman"/>
          <w:b/>
          <w:sz w:val="24"/>
          <w:szCs w:val="24"/>
          <w:lang w:val="en-US" w:eastAsia="en-US"/>
        </w:rPr>
        <w:t>III</w:t>
      </w:r>
      <w:r w:rsidRPr="00284E23">
        <w:rPr>
          <w:rFonts w:ascii="Times New Roman" w:eastAsia="Calibri" w:hAnsi="Times New Roman" w:cs="Times New Roman"/>
          <w:b/>
          <w:sz w:val="24"/>
          <w:szCs w:val="24"/>
          <w:lang w:eastAsia="en-US"/>
        </w:rPr>
        <w:t xml:space="preserve">. </w:t>
      </w:r>
      <w:r w:rsidRPr="00284E23">
        <w:rPr>
          <w:rFonts w:ascii="Times New Roman" w:hAnsi="Times New Roman" w:cs="Times New Roman"/>
          <w:b/>
          <w:sz w:val="24"/>
          <w:szCs w:val="24"/>
        </w:rPr>
        <w:t>Защита НПО от коррозии</w:t>
      </w:r>
    </w:p>
    <w:p w:rsidR="00806E96" w:rsidRPr="00284E23" w:rsidRDefault="00806E96" w:rsidP="00510B62">
      <w:pPr>
        <w:spacing w:after="0" w:line="240" w:lineRule="auto"/>
        <w:ind w:firstLine="284"/>
        <w:jc w:val="both"/>
        <w:rPr>
          <w:rFonts w:ascii="Times New Roman" w:hAnsi="Times New Roman" w:cs="Times New Roman"/>
          <w:sz w:val="24"/>
          <w:szCs w:val="24"/>
        </w:rPr>
      </w:pPr>
    </w:p>
    <w:p w:rsidR="00806E96" w:rsidRPr="00284E23" w:rsidRDefault="00806E96" w:rsidP="00510B62">
      <w:pPr>
        <w:spacing w:after="0" w:line="240" w:lineRule="auto"/>
        <w:ind w:firstLine="284"/>
        <w:jc w:val="both"/>
        <w:rPr>
          <w:rFonts w:ascii="Times New Roman" w:hAnsi="Times New Roman" w:cs="Times New Roman"/>
          <w:sz w:val="24"/>
          <w:szCs w:val="24"/>
        </w:rPr>
      </w:pPr>
      <w:r w:rsidRPr="00284E23">
        <w:rPr>
          <w:rFonts w:ascii="Times New Roman" w:hAnsi="Times New Roman" w:cs="Times New Roman"/>
          <w:sz w:val="24"/>
          <w:szCs w:val="24"/>
        </w:rPr>
        <w:t>Коллективом НГДУ в 2017 году продиагностировано с экспертизой промышленной безопасности  1239,3 км трубопроводов и проведен комплекс мероприятий для решения проблем внутренней и наружной коррозии действующих трубопроводов с целью  снижения их порывов, а так же контроль качества на всех этапах строительства  и ремонта трубопроводов. По сравнению с 2000 годом порывность по состоянию на 01.01.2018г была снижена в 7,2 раз</w:t>
      </w:r>
      <w:r w:rsidR="00B67E97" w:rsidRPr="00284E23">
        <w:rPr>
          <w:rFonts w:ascii="Times New Roman" w:hAnsi="Times New Roman" w:cs="Times New Roman"/>
          <w:bCs/>
          <w:sz w:val="24"/>
          <w:szCs w:val="24"/>
        </w:rPr>
        <w:t>(диаграмма 3.1.)</w:t>
      </w:r>
      <w:r w:rsidR="00B67E97" w:rsidRPr="00284E23">
        <w:rPr>
          <w:rFonts w:ascii="Times New Roman" w:hAnsi="Times New Roman" w:cs="Times New Roman"/>
          <w:sz w:val="24"/>
          <w:szCs w:val="24"/>
        </w:rPr>
        <w:t>.</w:t>
      </w:r>
      <w:r w:rsidRPr="00284E23">
        <w:rPr>
          <w:rFonts w:ascii="Times New Roman" w:hAnsi="Times New Roman" w:cs="Times New Roman"/>
          <w:sz w:val="24"/>
          <w:szCs w:val="24"/>
        </w:rPr>
        <w:t xml:space="preserve">За 2017 год количество порывов по системе </w:t>
      </w:r>
      <w:r w:rsidRPr="00284E23">
        <w:rPr>
          <w:rFonts w:ascii="Times New Roman" w:hAnsi="Times New Roman" w:cs="Times New Roman"/>
          <w:sz w:val="24"/>
          <w:szCs w:val="24"/>
        </w:rPr>
        <w:lastRenderedPageBreak/>
        <w:t>нефтесбора снизилось на 7,3%, если в 2016 году их было 150, то за 2017 год зарегистрировано 139 случаев отказа.</w:t>
      </w:r>
    </w:p>
    <w:p w:rsidR="00B67E97" w:rsidRPr="00284E23" w:rsidRDefault="00B67E97" w:rsidP="00B67E97">
      <w:pPr>
        <w:spacing w:after="0" w:line="240" w:lineRule="auto"/>
        <w:ind w:left="6372" w:firstLine="708"/>
        <w:jc w:val="center"/>
        <w:rPr>
          <w:rFonts w:ascii="Times New Roman" w:hAnsi="Times New Roman" w:cs="Times New Roman"/>
          <w:b/>
          <w:sz w:val="24"/>
          <w:szCs w:val="24"/>
        </w:rPr>
      </w:pPr>
      <w:r w:rsidRPr="00284E23">
        <w:rPr>
          <w:rFonts w:ascii="Times New Roman" w:hAnsi="Times New Roman" w:cs="Times New Roman"/>
          <w:b/>
          <w:sz w:val="24"/>
          <w:szCs w:val="24"/>
        </w:rPr>
        <w:t>Диаграмма 3.1.</w:t>
      </w:r>
    </w:p>
    <w:p w:rsidR="00B67E97" w:rsidRPr="00284E23" w:rsidRDefault="00B67E97" w:rsidP="00B67E97">
      <w:pPr>
        <w:shd w:val="clear" w:color="auto" w:fill="FFFFFF"/>
        <w:spacing w:after="0" w:line="240" w:lineRule="auto"/>
        <w:ind w:right="-5"/>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921375" cy="3695700"/>
            <wp:effectExtent l="19050" t="0" r="22225" b="0"/>
            <wp:docPr id="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67E97" w:rsidRPr="00284E23" w:rsidRDefault="00B67E97" w:rsidP="00510B62">
      <w:pPr>
        <w:spacing w:after="0" w:line="240" w:lineRule="auto"/>
        <w:ind w:firstLine="284"/>
        <w:jc w:val="both"/>
        <w:rPr>
          <w:rFonts w:ascii="Times New Roman" w:hAnsi="Times New Roman" w:cs="Times New Roman"/>
          <w:sz w:val="24"/>
          <w:szCs w:val="24"/>
        </w:rPr>
      </w:pPr>
    </w:p>
    <w:p w:rsidR="00806E96" w:rsidRDefault="00806E96" w:rsidP="00967B32">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За счет проведения капитального ремонта доля нефтепроводов в антикоррозионном исполнении увеличилась с 65 до 66%, доля защищенных водоводов осталась на уровне 2016 года и составила 86%. Оснащенность электрохимической защитой трубопроводов составляет 58%, что аналогично 2016 году, но при этом доля эффективной защиты уменьшилась с 97 до 96%. Необходим капитальный ремонт ЭХЗ 158,0 км трубопроводов.    Для защиты нефтепромыслового оборудования от внутренней коррозии за 2017 год было применено 1219,413 т  ингибиторов коррозии, в том числе 163,9 т бактерицида. По направлению борьбы с коррозией и трубопроводному транспорту подано 5 лучших практик, направленных на снижение эксплуатационных затрат, внедрено 3 лучшие практики с экономическим эффектом 247,36тыс.руб., подано 21 Кайдзен предложения, 30 рационализаторских предложений с экономическим эффектом 653,73 тыс. рублей.</w:t>
      </w:r>
    </w:p>
    <w:p w:rsidR="002803A6" w:rsidRPr="00284E23" w:rsidRDefault="002803A6" w:rsidP="00967B32">
      <w:pPr>
        <w:spacing w:after="0" w:line="240" w:lineRule="auto"/>
        <w:jc w:val="both"/>
        <w:rPr>
          <w:rFonts w:ascii="Times New Roman" w:hAnsi="Times New Roman" w:cs="Times New Roman"/>
          <w:sz w:val="24"/>
          <w:szCs w:val="24"/>
        </w:rPr>
      </w:pPr>
    </w:p>
    <w:p w:rsidR="00612984" w:rsidRDefault="00612984" w:rsidP="00510B62">
      <w:pPr>
        <w:numPr>
          <w:ilvl w:val="1"/>
          <w:numId w:val="7"/>
        </w:numPr>
        <w:spacing w:after="0" w:line="240" w:lineRule="auto"/>
        <w:jc w:val="center"/>
        <w:rPr>
          <w:rFonts w:ascii="Times New Roman" w:hAnsi="Times New Roman" w:cs="Times New Roman"/>
          <w:b/>
          <w:bCs/>
          <w:sz w:val="24"/>
          <w:szCs w:val="24"/>
        </w:rPr>
      </w:pPr>
      <w:r w:rsidRPr="00284E23">
        <w:rPr>
          <w:rFonts w:ascii="Times New Roman" w:hAnsi="Times New Roman" w:cs="Times New Roman"/>
          <w:b/>
          <w:bCs/>
          <w:sz w:val="24"/>
          <w:szCs w:val="24"/>
        </w:rPr>
        <w:t>Анализ порывности  нефтепроводов.</w:t>
      </w:r>
    </w:p>
    <w:p w:rsidR="002803A6" w:rsidRPr="00284E23" w:rsidRDefault="002803A6" w:rsidP="002803A6">
      <w:pPr>
        <w:spacing w:after="0" w:line="240" w:lineRule="auto"/>
        <w:ind w:left="1287"/>
        <w:rPr>
          <w:rFonts w:ascii="Times New Roman" w:hAnsi="Times New Roman" w:cs="Times New Roman"/>
          <w:b/>
          <w:bCs/>
          <w:sz w:val="24"/>
          <w:szCs w:val="24"/>
        </w:rPr>
      </w:pPr>
    </w:p>
    <w:p w:rsidR="00EB0CA6" w:rsidRPr="00284E23" w:rsidRDefault="00612984" w:rsidP="00B67E97">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 xml:space="preserve"> В 2017 году проведен комплекс мероприятий для решения проблем внутренней и наружной коррозии действующих трубопроводов с целью  снижения их порывов, а так же контроль качества на всех этапах строительства  и ремонта трубопроводов.</w:t>
      </w:r>
    </w:p>
    <w:p w:rsidR="00612984" w:rsidRPr="00284E23" w:rsidRDefault="00612984" w:rsidP="00510B62">
      <w:pPr>
        <w:shd w:val="clear" w:color="auto" w:fill="FFFFFF"/>
        <w:spacing w:after="0" w:line="240" w:lineRule="auto"/>
        <w:ind w:right="-5"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Не смотря на выполнение антикоррозионных мероприятий по всем направлениям деятельности, включая строительство, замену аварийных участков, защиту от наружной и внутренней коррозии, изменение дозировок и способа подачи ингибитора коррозии порывность в системе нефтесбора не удалось выйти на уровень 2013-2015гг. </w:t>
      </w:r>
    </w:p>
    <w:p w:rsidR="00612984" w:rsidRPr="00284E23" w:rsidRDefault="00612984" w:rsidP="00510B62">
      <w:pPr>
        <w:shd w:val="clear" w:color="auto" w:fill="FFFFFF"/>
        <w:spacing w:after="0" w:line="240" w:lineRule="auto"/>
        <w:ind w:right="-5" w:firstLine="720"/>
        <w:jc w:val="both"/>
        <w:rPr>
          <w:rFonts w:ascii="Times New Roman" w:hAnsi="Times New Roman" w:cs="Times New Roman"/>
          <w:sz w:val="24"/>
          <w:szCs w:val="24"/>
        </w:rPr>
      </w:pPr>
      <w:r w:rsidRPr="00284E23">
        <w:rPr>
          <w:rFonts w:ascii="Times New Roman" w:hAnsi="Times New Roman" w:cs="Times New Roman"/>
          <w:sz w:val="24"/>
          <w:szCs w:val="24"/>
        </w:rPr>
        <w:t>Удельная порывность за 2017 год и динамика отказов нефтепроводов по структурным подразделениям ПАО «Татнефть» представлена на диаграммах 3.2. и 3.3.</w:t>
      </w:r>
    </w:p>
    <w:p w:rsidR="002803A6" w:rsidRDefault="002803A6" w:rsidP="00284E23">
      <w:pPr>
        <w:shd w:val="clear" w:color="auto" w:fill="FFFFFF"/>
        <w:spacing w:after="0" w:line="240" w:lineRule="auto"/>
        <w:ind w:left="7068" w:right="-5" w:firstLine="12"/>
        <w:jc w:val="both"/>
        <w:rPr>
          <w:rFonts w:ascii="Times New Roman" w:hAnsi="Times New Roman" w:cs="Times New Roman"/>
          <w:sz w:val="24"/>
          <w:szCs w:val="24"/>
        </w:rPr>
      </w:pPr>
    </w:p>
    <w:p w:rsidR="002803A6" w:rsidRDefault="002803A6" w:rsidP="00284E23">
      <w:pPr>
        <w:shd w:val="clear" w:color="auto" w:fill="FFFFFF"/>
        <w:spacing w:after="0" w:line="240" w:lineRule="auto"/>
        <w:ind w:left="7068" w:right="-5" w:firstLine="12"/>
        <w:jc w:val="both"/>
        <w:rPr>
          <w:rFonts w:ascii="Times New Roman" w:hAnsi="Times New Roman" w:cs="Times New Roman"/>
          <w:sz w:val="24"/>
          <w:szCs w:val="24"/>
        </w:rPr>
      </w:pPr>
    </w:p>
    <w:p w:rsidR="00B67E97" w:rsidRDefault="00612984" w:rsidP="00284E23">
      <w:pPr>
        <w:shd w:val="clear" w:color="auto" w:fill="FFFFFF"/>
        <w:spacing w:after="0" w:line="240" w:lineRule="auto"/>
        <w:ind w:left="7068" w:right="-5" w:firstLine="12"/>
        <w:jc w:val="both"/>
        <w:rPr>
          <w:rFonts w:ascii="Times New Roman" w:hAnsi="Times New Roman" w:cs="Times New Roman"/>
          <w:sz w:val="24"/>
          <w:szCs w:val="24"/>
        </w:rPr>
      </w:pPr>
      <w:r w:rsidRPr="00284E23">
        <w:rPr>
          <w:rFonts w:ascii="Times New Roman" w:hAnsi="Times New Roman" w:cs="Times New Roman"/>
          <w:b/>
          <w:sz w:val="24"/>
          <w:szCs w:val="24"/>
        </w:rPr>
        <w:lastRenderedPageBreak/>
        <w:t>Диаграмма 3.2</w:t>
      </w:r>
      <w:r w:rsidRPr="00284E23">
        <w:rPr>
          <w:rFonts w:ascii="Times New Roman" w:hAnsi="Times New Roman" w:cs="Times New Roman"/>
          <w:sz w:val="24"/>
          <w:szCs w:val="24"/>
        </w:rPr>
        <w:t>.</w:t>
      </w:r>
    </w:p>
    <w:p w:rsidR="001C6F24" w:rsidRPr="00284E23" w:rsidRDefault="001C6F24" w:rsidP="00284E23">
      <w:pPr>
        <w:shd w:val="clear" w:color="auto" w:fill="FFFFFF"/>
        <w:spacing w:after="0" w:line="240" w:lineRule="auto"/>
        <w:ind w:left="7068" w:right="-5" w:firstLine="12"/>
        <w:jc w:val="both"/>
        <w:rPr>
          <w:rFonts w:ascii="Times New Roman" w:hAnsi="Times New Roman" w:cs="Times New Roman"/>
          <w:sz w:val="24"/>
          <w:szCs w:val="24"/>
        </w:rPr>
      </w:pPr>
    </w:p>
    <w:p w:rsidR="001C6F24" w:rsidRDefault="00612984" w:rsidP="00284E23">
      <w:pPr>
        <w:shd w:val="clear" w:color="auto" w:fill="FFFFFF"/>
        <w:spacing w:after="0" w:line="240" w:lineRule="auto"/>
        <w:ind w:right="-5"/>
        <w:jc w:val="right"/>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810250" cy="2695575"/>
            <wp:effectExtent l="0" t="0" r="0" b="0"/>
            <wp:docPr id="5"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1C6F24" w:rsidRDefault="001C6F24" w:rsidP="00284E23">
      <w:pPr>
        <w:shd w:val="clear" w:color="auto" w:fill="FFFFFF"/>
        <w:spacing w:after="0" w:line="240" w:lineRule="auto"/>
        <w:ind w:right="-5"/>
        <w:jc w:val="right"/>
        <w:rPr>
          <w:rFonts w:ascii="Times New Roman" w:hAnsi="Times New Roman" w:cs="Times New Roman"/>
          <w:sz w:val="24"/>
          <w:szCs w:val="24"/>
        </w:rPr>
      </w:pPr>
    </w:p>
    <w:p w:rsidR="00612984" w:rsidRDefault="00612984" w:rsidP="00284E23">
      <w:pPr>
        <w:shd w:val="clear" w:color="auto" w:fill="FFFFFF"/>
        <w:spacing w:after="0" w:line="240" w:lineRule="auto"/>
        <w:ind w:right="-5"/>
        <w:jc w:val="right"/>
        <w:rPr>
          <w:rFonts w:ascii="Times New Roman" w:hAnsi="Times New Roman" w:cs="Times New Roman"/>
          <w:b/>
          <w:sz w:val="24"/>
          <w:szCs w:val="24"/>
        </w:rPr>
      </w:pPr>
      <w:r w:rsidRPr="00284E23">
        <w:rPr>
          <w:rFonts w:ascii="Times New Roman" w:hAnsi="Times New Roman" w:cs="Times New Roman"/>
          <w:b/>
          <w:sz w:val="24"/>
          <w:szCs w:val="24"/>
        </w:rPr>
        <w:t>Диаграмма 3.3.</w:t>
      </w:r>
    </w:p>
    <w:p w:rsidR="001C6F24" w:rsidRPr="00284E23" w:rsidRDefault="001C6F24" w:rsidP="00284E23">
      <w:pPr>
        <w:shd w:val="clear" w:color="auto" w:fill="FFFFFF"/>
        <w:spacing w:after="0" w:line="240" w:lineRule="auto"/>
        <w:ind w:right="-5"/>
        <w:jc w:val="right"/>
        <w:rPr>
          <w:rFonts w:ascii="Times New Roman" w:hAnsi="Times New Roman" w:cs="Times New Roman"/>
          <w:sz w:val="24"/>
          <w:szCs w:val="24"/>
        </w:rPr>
      </w:pP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762625" cy="3467100"/>
            <wp:effectExtent l="0" t="0" r="0"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12984" w:rsidRPr="00284E23" w:rsidRDefault="00612984" w:rsidP="00510B62">
      <w:pPr>
        <w:spacing w:after="0" w:line="240" w:lineRule="auto"/>
        <w:ind w:firstLine="540"/>
        <w:jc w:val="both"/>
        <w:rPr>
          <w:rFonts w:ascii="Times New Roman" w:hAnsi="Times New Roman" w:cs="Times New Roman"/>
          <w:sz w:val="24"/>
          <w:szCs w:val="24"/>
        </w:rPr>
      </w:pPr>
    </w:p>
    <w:p w:rsidR="00967B32" w:rsidRDefault="00967B32" w:rsidP="00510B62">
      <w:pPr>
        <w:spacing w:after="0" w:line="240" w:lineRule="auto"/>
        <w:ind w:firstLine="540"/>
        <w:rPr>
          <w:rFonts w:ascii="Times New Roman" w:hAnsi="Times New Roman" w:cs="Times New Roman"/>
          <w:sz w:val="24"/>
          <w:szCs w:val="24"/>
        </w:rPr>
      </w:pPr>
    </w:p>
    <w:p w:rsidR="00967B32" w:rsidRDefault="00967B32" w:rsidP="00967B32">
      <w:pPr>
        <w:spacing w:after="0" w:line="240" w:lineRule="auto"/>
        <w:rPr>
          <w:rFonts w:ascii="Times New Roman" w:hAnsi="Times New Roman" w:cs="Times New Roman"/>
          <w:sz w:val="24"/>
          <w:szCs w:val="24"/>
        </w:rPr>
      </w:pPr>
    </w:p>
    <w:p w:rsidR="00612984" w:rsidRPr="00967B32" w:rsidRDefault="00612984" w:rsidP="00967B32">
      <w:pPr>
        <w:spacing w:after="0" w:line="240" w:lineRule="auto"/>
        <w:rPr>
          <w:rFonts w:ascii="Times New Roman" w:hAnsi="Times New Roman" w:cs="Times New Roman"/>
          <w:sz w:val="24"/>
          <w:szCs w:val="24"/>
        </w:rPr>
      </w:pPr>
      <w:r w:rsidRPr="00284E23">
        <w:rPr>
          <w:rFonts w:ascii="Times New Roman" w:hAnsi="Times New Roman" w:cs="Times New Roman"/>
          <w:sz w:val="24"/>
          <w:szCs w:val="24"/>
        </w:rPr>
        <w:t xml:space="preserve">86,3% порывов за 2017 год приходится на нефтепроводы старше 16 лет </w:t>
      </w:r>
      <w:r w:rsidRPr="00967B32">
        <w:rPr>
          <w:rFonts w:ascii="Times New Roman" w:hAnsi="Times New Roman" w:cs="Times New Roman"/>
          <w:sz w:val="24"/>
          <w:szCs w:val="24"/>
        </w:rPr>
        <w:t xml:space="preserve">(диаграмма 3.4.).   </w:t>
      </w:r>
    </w:p>
    <w:p w:rsidR="00612984" w:rsidRPr="00284E23" w:rsidRDefault="00612984" w:rsidP="00510B62">
      <w:pPr>
        <w:spacing w:after="0" w:line="240" w:lineRule="auto"/>
        <w:ind w:firstLine="540"/>
        <w:rPr>
          <w:rFonts w:ascii="Times New Roman" w:hAnsi="Times New Roman" w:cs="Times New Roman"/>
          <w:sz w:val="24"/>
          <w:szCs w:val="24"/>
        </w:rPr>
      </w:pPr>
      <w:r w:rsidRPr="00284E23">
        <w:rPr>
          <w:rFonts w:ascii="Times New Roman" w:hAnsi="Times New Roman" w:cs="Times New Roman"/>
          <w:b/>
          <w:sz w:val="24"/>
          <w:szCs w:val="24"/>
        </w:rPr>
        <w:lastRenderedPageBreak/>
        <w:t xml:space="preserve">Диаграмма 3.4. </w:t>
      </w:r>
      <w:r w:rsidRPr="00284E23">
        <w:rPr>
          <w:rFonts w:ascii="Times New Roman" w:hAnsi="Times New Roman" w:cs="Times New Roman"/>
          <w:noProof/>
          <w:sz w:val="24"/>
          <w:szCs w:val="24"/>
        </w:rPr>
        <w:drawing>
          <wp:inline distT="0" distB="0" distL="0" distR="0">
            <wp:extent cx="6152135" cy="3088389"/>
            <wp:effectExtent l="6095" t="6095" r="4445" b="7491"/>
            <wp:docPr id="7"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12984" w:rsidRPr="00284E23" w:rsidRDefault="00612984" w:rsidP="00510B62">
      <w:pPr>
        <w:spacing w:after="0" w:line="240" w:lineRule="auto"/>
        <w:ind w:firstLine="720"/>
        <w:jc w:val="both"/>
        <w:rPr>
          <w:rFonts w:ascii="Times New Roman" w:hAnsi="Times New Roman" w:cs="Times New Roman"/>
          <w:b/>
          <w:sz w:val="24"/>
          <w:szCs w:val="24"/>
        </w:rPr>
      </w:pPr>
      <w:r w:rsidRPr="00284E23">
        <w:rPr>
          <w:rFonts w:ascii="Times New Roman" w:hAnsi="Times New Roman" w:cs="Times New Roman"/>
          <w:sz w:val="24"/>
          <w:szCs w:val="24"/>
        </w:rPr>
        <w:t xml:space="preserve">В 2017 году  по сравнению с аналогичным периодом предыдущего  года произошло увеличение порывности по причине наружной коррозии на 5,1% (с 37 до 39). Снижение количество порывов по внутренней коррозии с 93 до 87 (6,4%) </w:t>
      </w:r>
      <w:r w:rsidRPr="00967B32">
        <w:rPr>
          <w:rFonts w:ascii="Times New Roman" w:hAnsi="Times New Roman" w:cs="Times New Roman"/>
          <w:sz w:val="24"/>
          <w:szCs w:val="24"/>
        </w:rPr>
        <w:t>(</w:t>
      </w:r>
      <w:r w:rsidRPr="00967B32">
        <w:rPr>
          <w:rFonts w:ascii="Times New Roman" w:hAnsi="Times New Roman" w:cs="Times New Roman"/>
          <w:bCs/>
          <w:sz w:val="24"/>
          <w:szCs w:val="24"/>
        </w:rPr>
        <w:t>диаграмм</w:t>
      </w:r>
      <w:r w:rsidR="00967B32" w:rsidRPr="00967B32">
        <w:rPr>
          <w:rFonts w:ascii="Times New Roman" w:hAnsi="Times New Roman" w:cs="Times New Roman"/>
          <w:bCs/>
          <w:sz w:val="24"/>
          <w:szCs w:val="24"/>
        </w:rPr>
        <w:t>е 3.5</w:t>
      </w:r>
      <w:r w:rsidRPr="00967B32">
        <w:rPr>
          <w:rFonts w:ascii="Times New Roman" w:hAnsi="Times New Roman" w:cs="Times New Roman"/>
          <w:bCs/>
          <w:sz w:val="24"/>
          <w:szCs w:val="24"/>
        </w:rPr>
        <w:t>).</w:t>
      </w:r>
    </w:p>
    <w:p w:rsidR="00612984" w:rsidRPr="00284E23" w:rsidRDefault="00967B32" w:rsidP="00510B62">
      <w:pPr>
        <w:keepNext/>
        <w:spacing w:after="0" w:line="240" w:lineRule="auto"/>
        <w:jc w:val="right"/>
        <w:outlineLvl w:val="1"/>
        <w:rPr>
          <w:rFonts w:ascii="Times New Roman" w:hAnsi="Times New Roman" w:cs="Times New Roman"/>
          <w:b/>
          <w:sz w:val="24"/>
          <w:szCs w:val="24"/>
        </w:rPr>
      </w:pPr>
      <w:r>
        <w:rPr>
          <w:rFonts w:ascii="Times New Roman" w:hAnsi="Times New Roman" w:cs="Times New Roman"/>
          <w:b/>
          <w:sz w:val="24"/>
          <w:szCs w:val="24"/>
        </w:rPr>
        <w:t>Диаграмма 3.5</w:t>
      </w:r>
      <w:r w:rsidR="00612984" w:rsidRPr="00284E23">
        <w:rPr>
          <w:rFonts w:ascii="Times New Roman" w:hAnsi="Times New Roman" w:cs="Times New Roman"/>
          <w:b/>
          <w:sz w:val="24"/>
          <w:szCs w:val="24"/>
        </w:rPr>
        <w:t>.</w:t>
      </w:r>
    </w:p>
    <w:p w:rsidR="00612984" w:rsidRPr="00284E23" w:rsidRDefault="00612984" w:rsidP="00510B62">
      <w:pPr>
        <w:spacing w:after="0" w:line="240" w:lineRule="auto"/>
        <w:ind w:left="180"/>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6152135" cy="3063619"/>
            <wp:effectExtent l="6095" t="6097" r="4445" b="3049"/>
            <wp:docPr id="1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12984" w:rsidRPr="00284E23" w:rsidRDefault="00612984" w:rsidP="00510B62">
      <w:pPr>
        <w:spacing w:after="0" w:line="240" w:lineRule="auto"/>
        <w:ind w:firstLine="720"/>
        <w:jc w:val="both"/>
        <w:rPr>
          <w:rFonts w:ascii="Times New Roman" w:hAnsi="Times New Roman" w:cs="Times New Roman"/>
          <w:sz w:val="24"/>
          <w:szCs w:val="24"/>
        </w:rPr>
      </w:pPr>
    </w:p>
    <w:p w:rsidR="00612984" w:rsidRPr="00284E23" w:rsidRDefault="00612984" w:rsidP="00B67E97">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За отчетный период на выкидных линиях произошло - 95 порывов, на нефтесборных и напорных нефтепроводах - 34 и 10 порывов соответственно. Произошел рост порывов на выкидных трубопроводах с 83 до 95. На нефтесборных и напорных трубопроводах наблюдается снижение количества порывов по причине наружной коррозии (</w:t>
      </w:r>
      <w:r w:rsidRPr="00284E23">
        <w:rPr>
          <w:rFonts w:ascii="Times New Roman" w:hAnsi="Times New Roman" w:cs="Times New Roman"/>
          <w:b/>
          <w:sz w:val="24"/>
          <w:szCs w:val="24"/>
        </w:rPr>
        <w:t>Диаграмма 3.8.</w:t>
      </w:r>
      <w:r w:rsidRPr="00284E23">
        <w:rPr>
          <w:rFonts w:ascii="Times New Roman" w:hAnsi="Times New Roman" w:cs="Times New Roman"/>
          <w:sz w:val="24"/>
          <w:szCs w:val="24"/>
        </w:rPr>
        <w:t xml:space="preserve">). На выкидных и напорных трубопроводах количество порывов по внутренней коррозии увеличилось. Порывы в количестве 7шт по внутренней коррозии произошли на 3 напорных трубопроводах. Из них по 3 порыва по ВК произошли на напорном нефтепроводе ДНС-24 – ЯТП ЦДНГ-2, ДНС-6 – ЧТП ЦДНГ-5. Порывы в количестве 55шт. по внутренней коррозии произошли на 30 выкидных трубопроводах. По </w:t>
      </w:r>
      <w:r w:rsidRPr="00284E23">
        <w:rPr>
          <w:rFonts w:ascii="Times New Roman" w:hAnsi="Times New Roman" w:cs="Times New Roman"/>
          <w:sz w:val="24"/>
          <w:szCs w:val="24"/>
        </w:rPr>
        <w:lastRenderedPageBreak/>
        <w:t xml:space="preserve">4 порыва по ВК произошли на выкидных трубопроводах скв.15847 – ГЗУ-31С ЦДНГ-5. На нефтесборных трубопроводах количество порывов по внутренней коррозии уменьшилось с 34 до 25. Порывы в количестве 25шт по внутренней коррозии произошли на 11 нефтесборных трубопроводах.  Из них 11 порывов по ВК произошли нефтесборных трубопроводах ГЗУ-78 – ГЗУ-77(ДНС) ЦДНГ-5.      </w:t>
      </w:r>
      <w:r w:rsidR="00967B32">
        <w:rPr>
          <w:rFonts w:ascii="Times New Roman" w:hAnsi="Times New Roman" w:cs="Times New Roman"/>
          <w:b/>
          <w:sz w:val="24"/>
          <w:szCs w:val="24"/>
        </w:rPr>
        <w:t>Диаграмма 3.6</w:t>
      </w:r>
      <w:r w:rsidRPr="00284E23">
        <w:rPr>
          <w:rFonts w:ascii="Times New Roman" w:hAnsi="Times New Roman" w:cs="Times New Roman"/>
          <w:b/>
          <w:sz w:val="24"/>
          <w:szCs w:val="24"/>
        </w:rPr>
        <w:t>.</w:t>
      </w:r>
    </w:p>
    <w:p w:rsidR="00612984" w:rsidRPr="00284E23" w:rsidRDefault="00612984" w:rsidP="00B67E97">
      <w:pPr>
        <w:spacing w:after="0" w:line="240" w:lineRule="auto"/>
        <w:jc w:val="center"/>
        <w:rPr>
          <w:rFonts w:ascii="Times New Roman" w:hAnsi="Times New Roman" w:cs="Times New Roman"/>
          <w:sz w:val="24"/>
          <w:szCs w:val="24"/>
          <w:highlight w:val="yellow"/>
        </w:rPr>
      </w:pPr>
      <w:r w:rsidRPr="00284E23">
        <w:rPr>
          <w:rFonts w:ascii="Times New Roman" w:hAnsi="Times New Roman" w:cs="Times New Roman"/>
          <w:noProof/>
          <w:sz w:val="24"/>
          <w:szCs w:val="24"/>
        </w:rPr>
        <w:drawing>
          <wp:inline distT="0" distB="0" distL="0" distR="0">
            <wp:extent cx="5956935" cy="3182620"/>
            <wp:effectExtent l="19050" t="0" r="24765" b="0"/>
            <wp:docPr id="1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612984" w:rsidRPr="00284E23" w:rsidRDefault="00612984" w:rsidP="00510B62">
      <w:pPr>
        <w:spacing w:after="0" w:line="240" w:lineRule="auto"/>
        <w:ind w:firstLine="540"/>
        <w:jc w:val="both"/>
        <w:rPr>
          <w:rFonts w:ascii="Times New Roman" w:hAnsi="Times New Roman" w:cs="Times New Roman"/>
          <w:sz w:val="24"/>
          <w:szCs w:val="24"/>
        </w:rPr>
      </w:pPr>
    </w:p>
    <w:p w:rsidR="00612984" w:rsidRPr="00284E23" w:rsidRDefault="00612984" w:rsidP="00B67E97">
      <w:pPr>
        <w:spacing w:after="0" w:line="240" w:lineRule="auto"/>
        <w:ind w:firstLine="540"/>
        <w:jc w:val="both"/>
        <w:rPr>
          <w:rFonts w:ascii="Times New Roman" w:hAnsi="Times New Roman" w:cs="Times New Roman"/>
          <w:sz w:val="24"/>
          <w:szCs w:val="24"/>
        </w:rPr>
      </w:pPr>
      <w:r w:rsidRPr="00284E23">
        <w:rPr>
          <w:rFonts w:ascii="Times New Roman" w:hAnsi="Times New Roman" w:cs="Times New Roman"/>
          <w:sz w:val="24"/>
          <w:szCs w:val="24"/>
        </w:rPr>
        <w:t>Снижение количества порывов по причине наружной коррозии наблюдается в ЦДНГ-2 и ЦДНГ-4, ЦДНГ-5</w:t>
      </w:r>
      <w:r w:rsidR="00967B32">
        <w:rPr>
          <w:rFonts w:ascii="Times New Roman" w:hAnsi="Times New Roman" w:cs="Times New Roman"/>
          <w:b/>
          <w:sz w:val="24"/>
          <w:szCs w:val="24"/>
        </w:rPr>
        <w:t xml:space="preserve"> (</w:t>
      </w:r>
      <w:r w:rsidR="00967B32" w:rsidRPr="00967B32">
        <w:rPr>
          <w:rFonts w:ascii="Times New Roman" w:hAnsi="Times New Roman" w:cs="Times New Roman"/>
          <w:sz w:val="24"/>
          <w:szCs w:val="24"/>
        </w:rPr>
        <w:t>диаграмма 3.7</w:t>
      </w:r>
      <w:r w:rsidRPr="00967B32">
        <w:rPr>
          <w:rFonts w:ascii="Times New Roman" w:hAnsi="Times New Roman" w:cs="Times New Roman"/>
          <w:sz w:val="24"/>
          <w:szCs w:val="24"/>
        </w:rPr>
        <w:t>.).</w:t>
      </w:r>
      <w:r w:rsidRPr="00284E23">
        <w:rPr>
          <w:rFonts w:ascii="Times New Roman" w:hAnsi="Times New Roman" w:cs="Times New Roman"/>
          <w:sz w:val="24"/>
          <w:szCs w:val="24"/>
        </w:rPr>
        <w:t xml:space="preserve"> Увеличение порывов по причине наружной коррозии произошло в ЦДНГ-6, ЦДНГ-7.</w:t>
      </w:r>
      <w:r w:rsidR="00967B32">
        <w:rPr>
          <w:rFonts w:ascii="Times New Roman" w:hAnsi="Times New Roman" w:cs="Times New Roman"/>
          <w:b/>
          <w:sz w:val="24"/>
          <w:szCs w:val="24"/>
        </w:rPr>
        <w:t>Диаграмма 3.7</w:t>
      </w:r>
      <w:r w:rsidRPr="00284E23">
        <w:rPr>
          <w:rFonts w:ascii="Times New Roman" w:hAnsi="Times New Roman" w:cs="Times New Roman"/>
          <w:b/>
          <w:sz w:val="24"/>
          <w:szCs w:val="24"/>
        </w:rPr>
        <w:t>.</w:t>
      </w:r>
    </w:p>
    <w:p w:rsidR="00612984" w:rsidRPr="00284E23" w:rsidRDefault="00612984" w:rsidP="00510B62">
      <w:pPr>
        <w:spacing w:after="0" w:line="240" w:lineRule="auto"/>
        <w:rPr>
          <w:rFonts w:ascii="Times New Roman" w:hAnsi="Times New Roman" w:cs="Times New Roman"/>
          <w:noProof/>
          <w:sz w:val="24"/>
          <w:szCs w:val="24"/>
        </w:rPr>
      </w:pPr>
      <w:r w:rsidRPr="00284E23">
        <w:rPr>
          <w:rFonts w:ascii="Times New Roman" w:hAnsi="Times New Roman" w:cs="Times New Roman"/>
          <w:noProof/>
          <w:sz w:val="24"/>
          <w:szCs w:val="24"/>
        </w:rPr>
        <w:drawing>
          <wp:inline distT="0" distB="0" distL="0" distR="0">
            <wp:extent cx="5970270" cy="3540125"/>
            <wp:effectExtent l="19050" t="0" r="11430" b="3175"/>
            <wp:docPr id="1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612984" w:rsidRPr="00284E23" w:rsidRDefault="00612984" w:rsidP="00B67E97">
      <w:pPr>
        <w:tabs>
          <w:tab w:val="left" w:pos="0"/>
        </w:tabs>
        <w:spacing w:after="0" w:line="240" w:lineRule="auto"/>
        <w:ind w:right="-28" w:firstLine="567"/>
        <w:jc w:val="both"/>
        <w:rPr>
          <w:rFonts w:ascii="Times New Roman" w:hAnsi="Times New Roman" w:cs="Times New Roman"/>
          <w:sz w:val="24"/>
          <w:szCs w:val="24"/>
        </w:rPr>
      </w:pPr>
      <w:r w:rsidRPr="00284E23">
        <w:rPr>
          <w:rFonts w:ascii="Times New Roman" w:hAnsi="Times New Roman" w:cs="Times New Roman"/>
          <w:sz w:val="24"/>
          <w:szCs w:val="24"/>
        </w:rPr>
        <w:t>Увеличение количества порывов по внутренней коррозии наблюдается в ЦДНГ-2, ЦДНГ-4, ЦДНГ-5. Снижение количество порывов по внутренней коррозии наблюд</w:t>
      </w:r>
      <w:r w:rsidR="00967B32">
        <w:rPr>
          <w:rFonts w:ascii="Times New Roman" w:hAnsi="Times New Roman" w:cs="Times New Roman"/>
          <w:sz w:val="24"/>
          <w:szCs w:val="24"/>
        </w:rPr>
        <w:t xml:space="preserve">ается в ЦДНГ-1, ЦДНГ-6, ЦДНГ-7 .                                                                          </w:t>
      </w:r>
      <w:r w:rsidR="001C6F24">
        <w:rPr>
          <w:rFonts w:ascii="Times New Roman" w:hAnsi="Times New Roman" w:cs="Times New Roman"/>
          <w:b/>
          <w:sz w:val="24"/>
          <w:szCs w:val="24"/>
        </w:rPr>
        <w:t>Д</w:t>
      </w:r>
      <w:r w:rsidR="00967B32">
        <w:rPr>
          <w:rFonts w:ascii="Times New Roman" w:hAnsi="Times New Roman" w:cs="Times New Roman"/>
          <w:b/>
          <w:sz w:val="24"/>
          <w:szCs w:val="24"/>
        </w:rPr>
        <w:t>иаграмма 3.8</w:t>
      </w:r>
      <w:r w:rsidRPr="00284E23">
        <w:rPr>
          <w:rFonts w:ascii="Times New Roman" w:hAnsi="Times New Roman" w:cs="Times New Roman"/>
          <w:b/>
          <w:sz w:val="24"/>
          <w:szCs w:val="24"/>
        </w:rPr>
        <w:t>.</w:t>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lastRenderedPageBreak/>
        <w:drawing>
          <wp:inline distT="0" distB="0" distL="0" distR="0">
            <wp:extent cx="5970270" cy="3456940"/>
            <wp:effectExtent l="19050" t="0" r="11430" b="0"/>
            <wp:docPr id="1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Динамика строительства, капитального и кусочного ремонта нефтепроводов представлена на диаграммах 3.11.</w:t>
      </w:r>
    </w:p>
    <w:p w:rsidR="00612984" w:rsidRPr="001C6F24" w:rsidRDefault="00967B32" w:rsidP="00510B62">
      <w:pPr>
        <w:spacing w:after="0" w:line="240" w:lineRule="auto"/>
        <w:ind w:firstLine="709"/>
        <w:jc w:val="right"/>
        <w:rPr>
          <w:rFonts w:ascii="Times New Roman" w:hAnsi="Times New Roman" w:cs="Times New Roman"/>
          <w:b/>
          <w:sz w:val="24"/>
          <w:szCs w:val="24"/>
        </w:rPr>
      </w:pPr>
      <w:r w:rsidRPr="001C6F24">
        <w:rPr>
          <w:rFonts w:ascii="Times New Roman" w:hAnsi="Times New Roman" w:cs="Times New Roman"/>
          <w:b/>
          <w:sz w:val="24"/>
          <w:szCs w:val="24"/>
        </w:rPr>
        <w:t>Диаграмма 3.9.</w:t>
      </w:r>
    </w:p>
    <w:p w:rsidR="00612984" w:rsidRPr="00284E23" w:rsidRDefault="00612984" w:rsidP="00510B62">
      <w:pPr>
        <w:spacing w:after="0" w:line="240" w:lineRule="auto"/>
        <w:jc w:val="center"/>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970270" cy="3324860"/>
            <wp:effectExtent l="19050" t="0" r="11430" b="8890"/>
            <wp:docPr id="14"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612984" w:rsidRPr="00284E23" w:rsidRDefault="00612984" w:rsidP="00510B62">
      <w:pPr>
        <w:spacing w:after="0" w:line="240" w:lineRule="auto"/>
        <w:jc w:val="right"/>
        <w:rPr>
          <w:rFonts w:ascii="Times New Roman" w:hAnsi="Times New Roman" w:cs="Times New Roman"/>
          <w:sz w:val="24"/>
          <w:szCs w:val="24"/>
        </w:rPr>
      </w:pP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Кусочным ремонтом заменено 2540м нефтепроводов.</w:t>
      </w:r>
    </w:p>
    <w:p w:rsidR="00625061" w:rsidRPr="00284E23" w:rsidRDefault="00625061" w:rsidP="00510B62">
      <w:pPr>
        <w:spacing w:after="0" w:line="240" w:lineRule="auto"/>
        <w:rPr>
          <w:rFonts w:ascii="Times New Roman" w:hAnsi="Times New Roman" w:cs="Times New Roman"/>
          <w:sz w:val="24"/>
          <w:szCs w:val="24"/>
        </w:rPr>
      </w:pPr>
    </w:p>
    <w:p w:rsidR="00625061" w:rsidRPr="00284E23" w:rsidRDefault="00625061" w:rsidP="00510B62">
      <w:pPr>
        <w:spacing w:after="0" w:line="240" w:lineRule="auto"/>
        <w:rPr>
          <w:rFonts w:ascii="Times New Roman" w:hAnsi="Times New Roman" w:cs="Times New Roman"/>
          <w:sz w:val="24"/>
          <w:szCs w:val="24"/>
        </w:rPr>
      </w:pPr>
    </w:p>
    <w:p w:rsidR="00612984" w:rsidRPr="00284E23" w:rsidRDefault="00612984" w:rsidP="00C02A98">
      <w:pPr>
        <w:spacing w:after="0" w:line="240" w:lineRule="auto"/>
        <w:jc w:val="center"/>
        <w:rPr>
          <w:rFonts w:ascii="Times New Roman" w:hAnsi="Times New Roman" w:cs="Times New Roman"/>
          <w:b/>
          <w:sz w:val="24"/>
          <w:szCs w:val="24"/>
        </w:rPr>
      </w:pPr>
      <w:r w:rsidRPr="00284E23">
        <w:rPr>
          <w:rFonts w:ascii="Times New Roman" w:hAnsi="Times New Roman" w:cs="Times New Roman"/>
          <w:b/>
          <w:sz w:val="24"/>
          <w:szCs w:val="24"/>
        </w:rPr>
        <w:t>Основные причины порывов по наружной коррозии:</w:t>
      </w:r>
    </w:p>
    <w:p w:rsidR="00612984" w:rsidRPr="00284E23" w:rsidRDefault="00612984" w:rsidP="00510B62">
      <w:pPr>
        <w:numPr>
          <w:ilvl w:val="0"/>
          <w:numId w:val="9"/>
        </w:numPr>
        <w:spacing w:after="0" w:line="240" w:lineRule="auto"/>
        <w:ind w:left="0" w:firstLine="0"/>
        <w:jc w:val="both"/>
        <w:outlineLvl w:val="0"/>
        <w:rPr>
          <w:rFonts w:ascii="Times New Roman" w:hAnsi="Times New Roman" w:cs="Times New Roman"/>
          <w:sz w:val="24"/>
          <w:szCs w:val="24"/>
        </w:rPr>
      </w:pPr>
      <w:r w:rsidRPr="00284E23">
        <w:rPr>
          <w:rFonts w:ascii="Times New Roman" w:hAnsi="Times New Roman" w:cs="Times New Roman"/>
          <w:sz w:val="24"/>
          <w:szCs w:val="24"/>
        </w:rPr>
        <w:t xml:space="preserve">Недостаточная защищенность трубопроводов  от наружной коррозии средствами ЭХЗ из - за плохой изоляции старых нефтепроводов (напорные и нефтесборные трубопровода защищены на 78,6%, выкидные нефтепровода на – 73%.) </w:t>
      </w:r>
    </w:p>
    <w:p w:rsidR="00612984" w:rsidRPr="00284E23" w:rsidRDefault="00612984" w:rsidP="00510B62">
      <w:pPr>
        <w:numPr>
          <w:ilvl w:val="0"/>
          <w:numId w:val="9"/>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lastRenderedPageBreak/>
        <w:t>Естественное старение трубопроводов (78% от общего количества порывов по наружной коррозии  эксплуатация трубопроводов более 20 лет).</w:t>
      </w:r>
    </w:p>
    <w:p w:rsidR="00612984" w:rsidRPr="00284E23" w:rsidRDefault="00612984" w:rsidP="00510B62">
      <w:pPr>
        <w:spacing w:after="0" w:line="240" w:lineRule="auto"/>
        <w:rPr>
          <w:rFonts w:ascii="Times New Roman" w:hAnsi="Times New Roman" w:cs="Times New Roman"/>
          <w:sz w:val="24"/>
          <w:szCs w:val="24"/>
        </w:rPr>
      </w:pPr>
      <w:r w:rsidRPr="00284E23">
        <w:rPr>
          <w:rFonts w:ascii="Times New Roman" w:hAnsi="Times New Roman" w:cs="Times New Roman"/>
          <w:sz w:val="24"/>
          <w:szCs w:val="24"/>
        </w:rPr>
        <w:t xml:space="preserve">   Основные причины порывов по внутренней коррозии:</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Наличие СВБ в перекачиваемой жидкости (7,5%);</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Высокаяобводненность перекачиваемой жидкости, являющейся агрессивной средой на всех трубопроводах;</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Бездействие трубопроводов  в течение длительного времени из– за высокойобводненности скважин и другим причинам (11%);</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Высокое давление в нефтепроводе (3,2%);</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Пропарка трубопроводов, в результате чего в перекачиваемую среду попадает кислород (2,2%);</w:t>
      </w:r>
    </w:p>
    <w:p w:rsidR="00612984" w:rsidRPr="00284E23" w:rsidRDefault="00612984" w:rsidP="00510B62">
      <w:pPr>
        <w:numPr>
          <w:ilvl w:val="0"/>
          <w:numId w:val="10"/>
        </w:numPr>
        <w:spacing w:after="0" w:line="240" w:lineRule="auto"/>
        <w:ind w:left="0" w:firstLine="0"/>
        <w:jc w:val="both"/>
        <w:rPr>
          <w:rFonts w:ascii="Times New Roman" w:hAnsi="Times New Roman" w:cs="Times New Roman"/>
          <w:sz w:val="24"/>
          <w:szCs w:val="24"/>
        </w:rPr>
      </w:pPr>
      <w:r w:rsidRPr="00284E23">
        <w:rPr>
          <w:rFonts w:ascii="Times New Roman" w:hAnsi="Times New Roman" w:cs="Times New Roman"/>
          <w:sz w:val="24"/>
          <w:szCs w:val="24"/>
        </w:rPr>
        <w:t>Естественное старение трубопроводов (57% от общего количества порывов по внутренней коррозии  эксплуатация трубопроводов более 20 лет).</w:t>
      </w:r>
    </w:p>
    <w:p w:rsidR="00612984" w:rsidRPr="00284E23" w:rsidRDefault="00612984" w:rsidP="00510B62">
      <w:pPr>
        <w:spacing w:after="0" w:line="240" w:lineRule="auto"/>
        <w:ind w:firstLine="540"/>
        <w:jc w:val="both"/>
        <w:rPr>
          <w:rFonts w:ascii="Times New Roman" w:hAnsi="Times New Roman" w:cs="Times New Roman"/>
          <w:sz w:val="24"/>
          <w:szCs w:val="24"/>
        </w:rPr>
      </w:pPr>
      <w:r w:rsidRPr="00284E23">
        <w:rPr>
          <w:rFonts w:ascii="Times New Roman" w:hAnsi="Times New Roman" w:cs="Times New Roman"/>
          <w:sz w:val="24"/>
          <w:szCs w:val="24"/>
        </w:rPr>
        <w:t>Предложения по сокращению порывности нефтепроводов:</w:t>
      </w:r>
    </w:p>
    <w:p w:rsidR="00612984" w:rsidRPr="00284E23" w:rsidRDefault="00612984" w:rsidP="00510B62">
      <w:pPr>
        <w:widowControl w:val="0"/>
        <w:numPr>
          <w:ilvl w:val="0"/>
          <w:numId w:val="8"/>
        </w:numPr>
        <w:tabs>
          <w:tab w:val="clear" w:pos="360"/>
          <w:tab w:val="num" w:pos="709"/>
          <w:tab w:val="num" w:pos="1260"/>
        </w:tabs>
        <w:spacing w:after="0" w:line="240" w:lineRule="auto"/>
        <w:ind w:left="0" w:firstLine="284"/>
        <w:jc w:val="both"/>
        <w:rPr>
          <w:rFonts w:ascii="Times New Roman" w:hAnsi="Times New Roman" w:cs="Times New Roman"/>
          <w:sz w:val="24"/>
          <w:szCs w:val="24"/>
        </w:rPr>
      </w:pPr>
      <w:r w:rsidRPr="00284E23">
        <w:rPr>
          <w:rFonts w:ascii="Times New Roman" w:hAnsi="Times New Roman" w:cs="Times New Roman"/>
          <w:sz w:val="24"/>
          <w:szCs w:val="24"/>
        </w:rPr>
        <w:t>При выводе скважины в длительное бездействие (согласно технологического режима) предварительно перед остановкой производить закачку антикоррозионной жидкости в нефтепровод;</w:t>
      </w:r>
    </w:p>
    <w:p w:rsidR="00612984" w:rsidRPr="00284E23" w:rsidRDefault="00612984" w:rsidP="00510B62">
      <w:pPr>
        <w:numPr>
          <w:ilvl w:val="0"/>
          <w:numId w:val="8"/>
        </w:numPr>
        <w:tabs>
          <w:tab w:val="clear" w:pos="360"/>
          <w:tab w:val="left" w:pos="567"/>
          <w:tab w:val="num" w:pos="1260"/>
        </w:tabs>
        <w:spacing w:after="0" w:line="240" w:lineRule="auto"/>
        <w:ind w:left="0" w:firstLine="284"/>
        <w:jc w:val="both"/>
        <w:rPr>
          <w:rFonts w:ascii="Times New Roman" w:hAnsi="Times New Roman" w:cs="Times New Roman"/>
          <w:caps/>
          <w:sz w:val="24"/>
          <w:szCs w:val="24"/>
        </w:rPr>
      </w:pPr>
      <w:r w:rsidRPr="00284E23">
        <w:rPr>
          <w:rFonts w:ascii="Times New Roman" w:hAnsi="Times New Roman" w:cs="Times New Roman"/>
          <w:sz w:val="24"/>
          <w:szCs w:val="24"/>
        </w:rPr>
        <w:t>Не допускать превышения давления выше рабочего на всех нефтепроводах, соблюдать графики промывок нефтепроводов от АСПО, обеспечивать непрерывную подачу  деэмульгаторов в нефтепроводы;</w:t>
      </w:r>
    </w:p>
    <w:p w:rsidR="00612984" w:rsidRPr="00284E23" w:rsidRDefault="00612984" w:rsidP="00510B62">
      <w:pPr>
        <w:numPr>
          <w:ilvl w:val="0"/>
          <w:numId w:val="8"/>
        </w:numPr>
        <w:tabs>
          <w:tab w:val="clear" w:pos="360"/>
          <w:tab w:val="left" w:pos="567"/>
          <w:tab w:val="num" w:pos="1260"/>
        </w:tabs>
        <w:spacing w:after="0" w:line="240" w:lineRule="auto"/>
        <w:ind w:left="0" w:firstLine="284"/>
        <w:jc w:val="both"/>
        <w:rPr>
          <w:rFonts w:ascii="Times New Roman" w:hAnsi="Times New Roman" w:cs="Times New Roman"/>
          <w:caps/>
          <w:sz w:val="24"/>
          <w:szCs w:val="24"/>
        </w:rPr>
      </w:pPr>
      <w:r w:rsidRPr="00284E23">
        <w:rPr>
          <w:rFonts w:ascii="Times New Roman" w:hAnsi="Times New Roman" w:cs="Times New Roman"/>
          <w:sz w:val="24"/>
          <w:szCs w:val="24"/>
        </w:rPr>
        <w:t>Увеличить объем капитального ремонта нефтепроводов до минимально необходимого;</w:t>
      </w:r>
    </w:p>
    <w:p w:rsidR="00612984" w:rsidRPr="00284E23" w:rsidRDefault="00612984" w:rsidP="00510B62">
      <w:pPr>
        <w:numPr>
          <w:ilvl w:val="0"/>
          <w:numId w:val="8"/>
        </w:numPr>
        <w:tabs>
          <w:tab w:val="clear" w:pos="360"/>
          <w:tab w:val="left" w:pos="567"/>
          <w:tab w:val="num" w:pos="1260"/>
        </w:tabs>
        <w:spacing w:after="0" w:line="240" w:lineRule="auto"/>
        <w:ind w:left="0" w:firstLine="284"/>
        <w:jc w:val="both"/>
        <w:rPr>
          <w:rFonts w:ascii="Times New Roman" w:hAnsi="Times New Roman" w:cs="Times New Roman"/>
          <w:caps/>
          <w:sz w:val="24"/>
          <w:szCs w:val="24"/>
        </w:rPr>
      </w:pPr>
      <w:r w:rsidRPr="00284E23">
        <w:rPr>
          <w:rFonts w:ascii="Times New Roman" w:hAnsi="Times New Roman" w:cs="Times New Roman"/>
          <w:sz w:val="24"/>
          <w:szCs w:val="24"/>
        </w:rPr>
        <w:t>По результатам диагностирования необходимо производить замену неудовлетворительных участков трубопроводов;</w:t>
      </w:r>
    </w:p>
    <w:p w:rsidR="00612984" w:rsidRPr="00284E23" w:rsidRDefault="00625061" w:rsidP="00625061">
      <w:pPr>
        <w:tabs>
          <w:tab w:val="left" w:pos="567"/>
        </w:tabs>
        <w:spacing w:after="0" w:line="240" w:lineRule="auto"/>
        <w:ind w:left="284"/>
        <w:jc w:val="both"/>
        <w:rPr>
          <w:rFonts w:ascii="Times New Roman" w:eastAsia="Times New Roman" w:hAnsi="Times New Roman" w:cs="Times New Roman"/>
          <w:sz w:val="24"/>
          <w:szCs w:val="24"/>
          <w:highlight w:val="yellow"/>
        </w:rPr>
      </w:pPr>
      <w:r w:rsidRPr="00284E23">
        <w:rPr>
          <w:rFonts w:ascii="Times New Roman" w:hAnsi="Times New Roman" w:cs="Times New Roman"/>
          <w:sz w:val="24"/>
          <w:szCs w:val="24"/>
        </w:rPr>
        <w:t xml:space="preserve">5. </w:t>
      </w:r>
      <w:r w:rsidR="00612984" w:rsidRPr="00284E23">
        <w:rPr>
          <w:rFonts w:ascii="Times New Roman" w:hAnsi="Times New Roman" w:cs="Times New Roman"/>
          <w:sz w:val="24"/>
          <w:szCs w:val="24"/>
        </w:rPr>
        <w:t xml:space="preserve">Рекомендуется составить мероприятия по кусочному ремонту нефтепроводов на 2017 год для замены аварийных участков трубопроводов с учетом результатов расследования  некатегорийных отказов  за 2016 год и обеспечить их выполнение </w:t>
      </w:r>
    </w:p>
    <w:p w:rsidR="00612984" w:rsidRPr="00284E23" w:rsidRDefault="00612984" w:rsidP="00510B62">
      <w:pPr>
        <w:tabs>
          <w:tab w:val="left" w:pos="567"/>
        </w:tabs>
        <w:spacing w:after="0" w:line="240" w:lineRule="auto"/>
        <w:ind w:left="284"/>
        <w:jc w:val="both"/>
        <w:rPr>
          <w:rFonts w:ascii="Times New Roman" w:eastAsia="Times New Roman" w:hAnsi="Times New Roman" w:cs="Times New Roman"/>
          <w:sz w:val="24"/>
          <w:szCs w:val="24"/>
          <w:highlight w:val="yellow"/>
        </w:rPr>
      </w:pPr>
    </w:p>
    <w:p w:rsidR="00612984" w:rsidRPr="00C02A98" w:rsidRDefault="00612984" w:rsidP="00C02A98">
      <w:pPr>
        <w:numPr>
          <w:ilvl w:val="1"/>
          <w:numId w:val="12"/>
        </w:numPr>
        <w:spacing w:after="0" w:line="240" w:lineRule="auto"/>
        <w:jc w:val="center"/>
        <w:rPr>
          <w:rFonts w:ascii="Times New Roman" w:hAnsi="Times New Roman" w:cs="Times New Roman"/>
          <w:b/>
          <w:sz w:val="24"/>
          <w:szCs w:val="24"/>
        </w:rPr>
      </w:pPr>
      <w:r w:rsidRPr="00284E23">
        <w:rPr>
          <w:rFonts w:ascii="Times New Roman" w:hAnsi="Times New Roman" w:cs="Times New Roman"/>
          <w:b/>
          <w:sz w:val="24"/>
          <w:szCs w:val="24"/>
        </w:rPr>
        <w:t>Анализ порывности водоводов</w:t>
      </w:r>
    </w:p>
    <w:p w:rsidR="001C6F24" w:rsidRDefault="00612984" w:rsidP="00C02A98">
      <w:pPr>
        <w:spacing w:after="0" w:line="240" w:lineRule="auto"/>
        <w:ind w:firstLine="709"/>
        <w:jc w:val="both"/>
        <w:rPr>
          <w:rFonts w:ascii="Times New Roman" w:hAnsi="Times New Roman" w:cs="Times New Roman"/>
          <w:b/>
          <w:sz w:val="24"/>
          <w:szCs w:val="24"/>
        </w:rPr>
      </w:pPr>
      <w:r w:rsidRPr="00284E23">
        <w:rPr>
          <w:rFonts w:ascii="Times New Roman" w:hAnsi="Times New Roman" w:cs="Times New Roman"/>
          <w:sz w:val="24"/>
          <w:szCs w:val="24"/>
        </w:rPr>
        <w:t xml:space="preserve">По состоянию на 01.01.2017 года действующий фонд водоводов НГДУ «Джалильнефть» составляет 2716,4 км, из них 2337,3 км в антикоррозионном исполнении, в числе которых 2450,0 км разводящие водоводы и 266,4 км - подводящие </w:t>
      </w:r>
    </w:p>
    <w:p w:rsidR="00612984" w:rsidRPr="00284E23" w:rsidRDefault="00612984" w:rsidP="001C6F24">
      <w:pPr>
        <w:spacing w:after="0" w:line="240" w:lineRule="auto"/>
        <w:ind w:firstLine="709"/>
        <w:jc w:val="right"/>
        <w:rPr>
          <w:rFonts w:ascii="Times New Roman" w:hAnsi="Times New Roman" w:cs="Times New Roman"/>
          <w:sz w:val="24"/>
          <w:szCs w:val="24"/>
        </w:rPr>
      </w:pPr>
      <w:r w:rsidRPr="00284E23">
        <w:rPr>
          <w:rFonts w:ascii="Times New Roman" w:hAnsi="Times New Roman" w:cs="Times New Roman"/>
          <w:b/>
          <w:sz w:val="24"/>
          <w:szCs w:val="24"/>
        </w:rPr>
        <w:t xml:space="preserve">Диаграмма  </w:t>
      </w:r>
      <w:r w:rsidR="00C02A98">
        <w:rPr>
          <w:rFonts w:ascii="Times New Roman" w:hAnsi="Times New Roman" w:cs="Times New Roman"/>
          <w:b/>
          <w:sz w:val="24"/>
          <w:szCs w:val="24"/>
        </w:rPr>
        <w:t>3.10</w:t>
      </w:r>
      <w:r w:rsidRPr="00284E23">
        <w:rPr>
          <w:rFonts w:ascii="Times New Roman" w:hAnsi="Times New Roman" w:cs="Times New Roman"/>
          <w:sz w:val="24"/>
          <w:szCs w:val="24"/>
        </w:rPr>
        <w:t>.</w:t>
      </w:r>
    </w:p>
    <w:p w:rsidR="00612984" w:rsidRPr="00284E23" w:rsidRDefault="00612984" w:rsidP="00510B62">
      <w:pPr>
        <w:tabs>
          <w:tab w:val="left" w:pos="851"/>
        </w:tabs>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838825" cy="2390775"/>
            <wp:effectExtent l="0" t="0" r="0" b="0"/>
            <wp:docPr id="2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12984" w:rsidRPr="00284E23" w:rsidRDefault="00612984" w:rsidP="00510B62">
      <w:pPr>
        <w:spacing w:after="0" w:line="240" w:lineRule="auto"/>
        <w:rPr>
          <w:rFonts w:ascii="Times New Roman" w:hAnsi="Times New Roman" w:cs="Times New Roman"/>
          <w:b/>
          <w:sz w:val="24"/>
          <w:szCs w:val="24"/>
        </w:rPr>
      </w:pPr>
    </w:p>
    <w:p w:rsidR="00612984" w:rsidRPr="00284E23" w:rsidRDefault="00C02A98" w:rsidP="00510B62">
      <w:pPr>
        <w:spacing w:after="0" w:line="240" w:lineRule="auto"/>
        <w:ind w:firstLine="540"/>
        <w:jc w:val="right"/>
        <w:rPr>
          <w:rFonts w:ascii="Times New Roman" w:hAnsi="Times New Roman" w:cs="Times New Roman"/>
          <w:b/>
          <w:sz w:val="24"/>
          <w:szCs w:val="24"/>
        </w:rPr>
      </w:pPr>
      <w:r>
        <w:rPr>
          <w:rFonts w:ascii="Times New Roman" w:hAnsi="Times New Roman" w:cs="Times New Roman"/>
          <w:b/>
          <w:sz w:val="24"/>
          <w:szCs w:val="24"/>
        </w:rPr>
        <w:t>Диаграмма 3.11</w:t>
      </w:r>
      <w:r w:rsidR="00612984" w:rsidRPr="00284E23">
        <w:rPr>
          <w:rFonts w:ascii="Times New Roman" w:hAnsi="Times New Roman" w:cs="Times New Roman"/>
          <w:b/>
          <w:sz w:val="24"/>
          <w:szCs w:val="24"/>
        </w:rPr>
        <w:t>.</w:t>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lastRenderedPageBreak/>
        <w:drawing>
          <wp:inline distT="0" distB="0" distL="0" distR="0">
            <wp:extent cx="5808345" cy="3505200"/>
            <wp:effectExtent l="19050" t="0" r="20955" b="0"/>
            <wp:docPr id="27"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612984" w:rsidRPr="00284E23" w:rsidRDefault="00612984" w:rsidP="00510B62">
      <w:pPr>
        <w:shd w:val="clear" w:color="auto" w:fill="FFFFFF"/>
        <w:spacing w:after="0" w:line="240" w:lineRule="auto"/>
        <w:ind w:right="-5" w:firstLine="720"/>
        <w:jc w:val="both"/>
        <w:rPr>
          <w:rFonts w:ascii="Times New Roman" w:hAnsi="Times New Roman" w:cs="Times New Roman"/>
          <w:sz w:val="24"/>
          <w:szCs w:val="24"/>
        </w:rPr>
      </w:pPr>
    </w:p>
    <w:p w:rsidR="00612984" w:rsidRPr="00284E23" w:rsidRDefault="00612984" w:rsidP="00510B62">
      <w:pPr>
        <w:shd w:val="clear" w:color="auto" w:fill="FFFFFF"/>
        <w:spacing w:after="0" w:line="240" w:lineRule="auto"/>
        <w:ind w:right="-5"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Количество порывов на  водоводах за 2017 год по системе ППД ПАО «Татнефть» представлено на </w:t>
      </w:r>
      <w:r w:rsidR="00C02A98" w:rsidRPr="001C6F24">
        <w:rPr>
          <w:rFonts w:ascii="Times New Roman" w:hAnsi="Times New Roman" w:cs="Times New Roman"/>
          <w:sz w:val="24"/>
          <w:szCs w:val="24"/>
        </w:rPr>
        <w:t>диаграмме 3.12</w:t>
      </w:r>
      <w:r w:rsidRPr="001C6F24">
        <w:rPr>
          <w:rFonts w:ascii="Times New Roman" w:hAnsi="Times New Roman" w:cs="Times New Roman"/>
          <w:sz w:val="24"/>
          <w:szCs w:val="24"/>
        </w:rPr>
        <w:t>.</w:t>
      </w:r>
    </w:p>
    <w:p w:rsidR="00612984" w:rsidRPr="00284E23" w:rsidRDefault="00C02A98" w:rsidP="00510B62">
      <w:pPr>
        <w:shd w:val="clear" w:color="auto" w:fill="FFFFFF"/>
        <w:spacing w:after="0" w:line="240" w:lineRule="auto"/>
        <w:ind w:right="-5" w:firstLine="720"/>
        <w:jc w:val="right"/>
        <w:rPr>
          <w:rFonts w:ascii="Times New Roman" w:hAnsi="Times New Roman" w:cs="Times New Roman"/>
          <w:b/>
          <w:sz w:val="24"/>
          <w:szCs w:val="24"/>
        </w:rPr>
      </w:pPr>
      <w:r>
        <w:rPr>
          <w:rFonts w:ascii="Times New Roman" w:hAnsi="Times New Roman" w:cs="Times New Roman"/>
          <w:b/>
          <w:sz w:val="24"/>
          <w:szCs w:val="24"/>
        </w:rPr>
        <w:t xml:space="preserve">  Диаграмма 3.12</w:t>
      </w:r>
      <w:r w:rsidR="00612984" w:rsidRPr="00284E23">
        <w:rPr>
          <w:rFonts w:ascii="Times New Roman" w:hAnsi="Times New Roman" w:cs="Times New Roman"/>
          <w:b/>
          <w:sz w:val="24"/>
          <w:szCs w:val="24"/>
        </w:rPr>
        <w:t>.</w:t>
      </w:r>
    </w:p>
    <w:p w:rsidR="00612984" w:rsidRPr="00284E23" w:rsidRDefault="00612984" w:rsidP="00510B62">
      <w:pPr>
        <w:spacing w:after="0" w:line="240" w:lineRule="auto"/>
        <w:rPr>
          <w:rFonts w:ascii="Times New Roman" w:hAnsi="Times New Roman" w:cs="Times New Roman"/>
          <w:sz w:val="24"/>
          <w:szCs w:val="24"/>
          <w:highlight w:val="yellow"/>
        </w:rPr>
      </w:pPr>
      <w:r w:rsidRPr="00284E23">
        <w:rPr>
          <w:rFonts w:ascii="Times New Roman" w:hAnsi="Times New Roman" w:cs="Times New Roman"/>
          <w:noProof/>
          <w:sz w:val="24"/>
          <w:szCs w:val="24"/>
        </w:rPr>
        <w:drawing>
          <wp:inline distT="0" distB="0" distL="0" distR="0">
            <wp:extent cx="5966460" cy="3808095"/>
            <wp:effectExtent l="19050" t="0" r="15240" b="1905"/>
            <wp:docPr id="2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612984" w:rsidRPr="00284E23" w:rsidRDefault="00612984" w:rsidP="00510B62">
      <w:pPr>
        <w:spacing w:after="0" w:line="240" w:lineRule="auto"/>
        <w:jc w:val="both"/>
        <w:rPr>
          <w:rFonts w:ascii="Times New Roman" w:hAnsi="Times New Roman" w:cs="Times New Roman"/>
          <w:sz w:val="24"/>
          <w:szCs w:val="24"/>
          <w:highlight w:val="yellow"/>
        </w:rPr>
      </w:pPr>
    </w:p>
    <w:p w:rsidR="00612984" w:rsidRPr="00284E23" w:rsidRDefault="00612984" w:rsidP="00C02A98">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По сравнению с 2016 годом  в 2017 году произошло снижение количества порывов с 253 до 161 случая, т.е.  на 36,4 %.  (</w:t>
      </w:r>
      <w:r w:rsidRPr="00C02A98">
        <w:rPr>
          <w:rFonts w:ascii="Times New Roman" w:hAnsi="Times New Roman" w:cs="Times New Roman"/>
          <w:sz w:val="24"/>
          <w:szCs w:val="24"/>
        </w:rPr>
        <w:t>д</w:t>
      </w:r>
      <w:r w:rsidR="00C02A98" w:rsidRPr="00C02A98">
        <w:rPr>
          <w:rFonts w:ascii="Times New Roman" w:hAnsi="Times New Roman" w:cs="Times New Roman"/>
          <w:sz w:val="24"/>
          <w:szCs w:val="24"/>
        </w:rPr>
        <w:t>иаграмма 3.13).</w:t>
      </w:r>
      <w:r w:rsidR="00C02A98">
        <w:rPr>
          <w:rFonts w:ascii="Times New Roman" w:hAnsi="Times New Roman" w:cs="Times New Roman"/>
          <w:b/>
          <w:sz w:val="24"/>
          <w:szCs w:val="24"/>
        </w:rPr>
        <w:t>Диаграмма 3.13</w:t>
      </w:r>
      <w:r w:rsidRPr="00284E23">
        <w:rPr>
          <w:rFonts w:ascii="Times New Roman" w:hAnsi="Times New Roman" w:cs="Times New Roman"/>
          <w:sz w:val="24"/>
          <w:szCs w:val="24"/>
        </w:rPr>
        <w:t>.</w:t>
      </w:r>
    </w:p>
    <w:p w:rsidR="00612984" w:rsidRPr="00284E23" w:rsidRDefault="00612984" w:rsidP="00510B62">
      <w:pPr>
        <w:spacing w:after="0" w:line="240" w:lineRule="auto"/>
        <w:jc w:val="both"/>
        <w:rPr>
          <w:rFonts w:ascii="Times New Roman" w:hAnsi="Times New Roman" w:cs="Times New Roman"/>
          <w:noProof/>
          <w:sz w:val="24"/>
          <w:szCs w:val="24"/>
        </w:rPr>
      </w:pPr>
      <w:r w:rsidRPr="00284E23">
        <w:rPr>
          <w:rFonts w:ascii="Times New Roman" w:hAnsi="Times New Roman" w:cs="Times New Roman"/>
          <w:noProof/>
          <w:sz w:val="24"/>
          <w:szCs w:val="24"/>
        </w:rPr>
        <w:lastRenderedPageBreak/>
        <w:drawing>
          <wp:inline distT="0" distB="0" distL="0" distR="0">
            <wp:extent cx="5562600" cy="2962275"/>
            <wp:effectExtent l="0" t="0" r="0" b="0"/>
            <wp:docPr id="2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12984" w:rsidRPr="00284E23" w:rsidRDefault="00612984" w:rsidP="00510B62">
      <w:pPr>
        <w:spacing w:after="0" w:line="240" w:lineRule="auto"/>
        <w:jc w:val="both"/>
        <w:rPr>
          <w:rFonts w:ascii="Times New Roman" w:hAnsi="Times New Roman" w:cs="Times New Roman"/>
          <w:noProof/>
          <w:sz w:val="24"/>
          <w:szCs w:val="24"/>
        </w:rPr>
      </w:pP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За 2017 год в системе ППД произошел 161 порыв. 161 порыв произошел на 116 трубопроводах, из них:</w:t>
      </w: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 xml:space="preserve"> На 100 водоводах, перекачивающих сточную воду:</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xml:space="preserve">-  7 порывов на подводящем водоводе ЧТП -  КНС-75 (2000г.). </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6 порывов на подводящем водоводе СТП – КНС-58 (1996г).</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- 4 порыва КНС-75 – скв.7698 (1992г);</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3 порыва на 3-х разводящих и 1-ом подводящем водоводах: КНС-73 – скв.7702 (1996г); КНС-61 – скв.30127 (2001г.); КНС-72 – скв.7609 (1991г), ОС ЯТП– КНС-55.</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xml:space="preserve">-   по 2 порыва на 20 водоводах; </w:t>
      </w:r>
    </w:p>
    <w:p w:rsidR="00612984" w:rsidRPr="00284E23" w:rsidRDefault="00612984" w:rsidP="00510B62">
      <w:pPr>
        <w:spacing w:after="0" w:line="240" w:lineRule="auto"/>
        <w:ind w:firstLine="567"/>
        <w:rPr>
          <w:rFonts w:ascii="Times New Roman" w:hAnsi="Times New Roman" w:cs="Times New Roman"/>
          <w:sz w:val="24"/>
          <w:szCs w:val="24"/>
        </w:rPr>
      </w:pPr>
      <w:r w:rsidRPr="00284E23">
        <w:rPr>
          <w:rFonts w:ascii="Times New Roman" w:hAnsi="Times New Roman" w:cs="Times New Roman"/>
          <w:sz w:val="24"/>
          <w:szCs w:val="24"/>
        </w:rPr>
        <w:t>-   по 1 порыву на 73 водоводах.</w:t>
      </w:r>
    </w:p>
    <w:p w:rsidR="00612984" w:rsidRPr="00284E23" w:rsidRDefault="00612984" w:rsidP="00510B62">
      <w:pPr>
        <w:spacing w:after="0" w:line="240" w:lineRule="auto"/>
        <w:ind w:firstLine="709"/>
        <w:rPr>
          <w:rFonts w:ascii="Times New Roman" w:hAnsi="Times New Roman" w:cs="Times New Roman"/>
          <w:sz w:val="24"/>
          <w:szCs w:val="24"/>
        </w:rPr>
      </w:pPr>
      <w:r w:rsidRPr="00284E23">
        <w:rPr>
          <w:rFonts w:ascii="Times New Roman" w:hAnsi="Times New Roman" w:cs="Times New Roman"/>
          <w:sz w:val="24"/>
          <w:szCs w:val="24"/>
        </w:rPr>
        <w:t>На 16 водоводах, перекачивающих пресную воду:</w:t>
      </w:r>
    </w:p>
    <w:p w:rsidR="00612984" w:rsidRPr="00284E23" w:rsidRDefault="00612984" w:rsidP="00510B62">
      <w:pPr>
        <w:spacing w:after="0" w:line="240" w:lineRule="auto"/>
        <w:ind w:left="851" w:hanging="284"/>
        <w:jc w:val="both"/>
        <w:rPr>
          <w:rFonts w:ascii="Times New Roman" w:hAnsi="Times New Roman" w:cs="Times New Roman"/>
          <w:sz w:val="24"/>
          <w:szCs w:val="24"/>
        </w:rPr>
      </w:pPr>
      <w:r w:rsidRPr="00284E23">
        <w:rPr>
          <w:rFonts w:ascii="Times New Roman" w:hAnsi="Times New Roman" w:cs="Times New Roman"/>
          <w:sz w:val="24"/>
          <w:szCs w:val="24"/>
        </w:rPr>
        <w:t>-  4 порыва на водоводе КНС-153 – скв.12165 (1990г).</w:t>
      </w:r>
    </w:p>
    <w:p w:rsidR="001C6F24" w:rsidRDefault="00612984" w:rsidP="00C02A98">
      <w:pPr>
        <w:spacing w:after="0" w:line="240" w:lineRule="auto"/>
        <w:ind w:firstLine="567"/>
        <w:rPr>
          <w:rFonts w:ascii="Times New Roman" w:hAnsi="Times New Roman" w:cs="Times New Roman"/>
          <w:sz w:val="24"/>
          <w:szCs w:val="24"/>
        </w:rPr>
      </w:pPr>
      <w:r w:rsidRPr="00284E23">
        <w:rPr>
          <w:rFonts w:ascii="Times New Roman" w:hAnsi="Times New Roman" w:cs="Times New Roman"/>
          <w:sz w:val="24"/>
          <w:szCs w:val="24"/>
        </w:rPr>
        <w:t>-</w:t>
      </w:r>
      <w:r w:rsidR="00C02A98">
        <w:rPr>
          <w:rFonts w:ascii="Times New Roman" w:hAnsi="Times New Roman" w:cs="Times New Roman"/>
          <w:sz w:val="24"/>
          <w:szCs w:val="24"/>
        </w:rPr>
        <w:t xml:space="preserve">   по 1 порыву на 15 водоводах.                                </w:t>
      </w:r>
    </w:p>
    <w:p w:rsidR="00612984" w:rsidRPr="00C02A98" w:rsidRDefault="00C02A98" w:rsidP="001C6F24">
      <w:pPr>
        <w:spacing w:after="0" w:line="240" w:lineRule="auto"/>
        <w:ind w:firstLine="567"/>
        <w:jc w:val="right"/>
        <w:rPr>
          <w:rFonts w:ascii="Times New Roman" w:hAnsi="Times New Roman" w:cs="Times New Roman"/>
          <w:sz w:val="24"/>
          <w:szCs w:val="24"/>
        </w:rPr>
      </w:pPr>
      <w:r>
        <w:rPr>
          <w:rFonts w:ascii="Times New Roman" w:hAnsi="Times New Roman" w:cs="Times New Roman"/>
          <w:b/>
          <w:sz w:val="24"/>
          <w:szCs w:val="24"/>
        </w:rPr>
        <w:t>Диаграмма  3.14</w:t>
      </w:r>
      <w:r w:rsidR="00612984" w:rsidRPr="00284E23">
        <w:rPr>
          <w:rFonts w:ascii="Times New Roman" w:hAnsi="Times New Roman" w:cs="Times New Roman"/>
          <w:b/>
          <w:sz w:val="24"/>
          <w:szCs w:val="24"/>
        </w:rPr>
        <w:t>.</w:t>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724525" cy="2476500"/>
            <wp:effectExtent l="0" t="0" r="0" b="0"/>
            <wp:docPr id="3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1C6F24" w:rsidRDefault="001C6F24" w:rsidP="00510B62">
      <w:pPr>
        <w:spacing w:after="0" w:line="240" w:lineRule="auto"/>
        <w:ind w:firstLine="720"/>
        <w:jc w:val="both"/>
        <w:rPr>
          <w:rFonts w:ascii="Times New Roman" w:hAnsi="Times New Roman" w:cs="Times New Roman"/>
          <w:sz w:val="24"/>
          <w:szCs w:val="24"/>
        </w:rPr>
      </w:pP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В 2017 году количество порывов на пресных водоводах составляет 11,8% (19шт), на сточных – 80,7% (130шт).</w:t>
      </w:r>
    </w:p>
    <w:p w:rsidR="00612984" w:rsidRPr="00284E23" w:rsidRDefault="00612984" w:rsidP="00C02A98">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lastRenderedPageBreak/>
        <w:t xml:space="preserve">В 2017 году удельная порывность водоводов снижается по мере увеличения сроков эксплуатации водоводов – наибольшая на водоводах со сроком эксплуатации более 16 лет службы.   </w:t>
      </w: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По данным  ТатНИПИнефть порывы из-за наружной коррозии при отсутствии блуждающих токов в массовом порядке начинаются через 10-15 лет эксплуатации всех категории трубопроводов независимо от наличия наружной изоляции. При наличии блуждающих токов, источниками которых являются катодно-защищенные подземные сооружения в случае отсутствия специальных мер их ограничения,  этот срок может снизиться до 3-5 лет.</w:t>
      </w: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 xml:space="preserve">За 2017 год на водоводах, перекачивающих пресную воду, произошло 19 порывов (в 2016г- 30 порывов), из них: по причине наружной коррозии – 4 порывов, внутренней коррозии – 11 порывов, КРН – 3, по прочим причинам - 1. </w:t>
      </w: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На пресных водоводах высокого давления количество порывов уменьшилось с 29 отказов в 2016 году до 18 в 2017 году. На водоводах низкого давления  (подводящих) порывы показаны на</w:t>
      </w:r>
      <w:r w:rsidR="00C02A98">
        <w:rPr>
          <w:rFonts w:ascii="Times New Roman" w:hAnsi="Times New Roman" w:cs="Times New Roman"/>
          <w:b/>
          <w:sz w:val="24"/>
          <w:szCs w:val="24"/>
        </w:rPr>
        <w:t xml:space="preserve"> диаграмме 3.15</w:t>
      </w:r>
      <w:r w:rsidRPr="00284E23">
        <w:rPr>
          <w:rFonts w:ascii="Times New Roman" w:hAnsi="Times New Roman" w:cs="Times New Roman"/>
          <w:b/>
          <w:sz w:val="24"/>
          <w:szCs w:val="24"/>
        </w:rPr>
        <w:t>.</w:t>
      </w:r>
    </w:p>
    <w:p w:rsidR="001C6F24" w:rsidRDefault="00612984" w:rsidP="00C02A98">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На пресных водоводах количество порывов снизилось – порывность на водоводах со сроком эксплуатации от 15 лет и более составляет 100%. Т.е. основной причиной порывов на водоводах, перекачивающих пресную воду, является работа вод</w:t>
      </w:r>
      <w:r w:rsidR="00C02A98">
        <w:rPr>
          <w:rFonts w:ascii="Times New Roman" w:hAnsi="Times New Roman" w:cs="Times New Roman"/>
          <w:sz w:val="24"/>
          <w:szCs w:val="24"/>
        </w:rPr>
        <w:t xml:space="preserve">оводов выше нормативного срока.                                        </w:t>
      </w:r>
      <w:r w:rsidRPr="00284E23">
        <w:rPr>
          <w:rFonts w:ascii="Times New Roman" w:hAnsi="Times New Roman" w:cs="Times New Roman"/>
          <w:sz w:val="24"/>
          <w:szCs w:val="24"/>
        </w:rPr>
        <w:tab/>
      </w:r>
    </w:p>
    <w:p w:rsidR="00612984" w:rsidRDefault="00C02A98" w:rsidP="001C6F24">
      <w:pPr>
        <w:spacing w:after="0" w:line="240" w:lineRule="auto"/>
        <w:ind w:firstLine="720"/>
        <w:jc w:val="right"/>
        <w:rPr>
          <w:rFonts w:ascii="Times New Roman" w:hAnsi="Times New Roman" w:cs="Times New Roman"/>
          <w:b/>
          <w:sz w:val="24"/>
          <w:szCs w:val="24"/>
        </w:rPr>
      </w:pPr>
      <w:r>
        <w:rPr>
          <w:rFonts w:ascii="Times New Roman" w:hAnsi="Times New Roman" w:cs="Times New Roman"/>
          <w:b/>
          <w:sz w:val="24"/>
          <w:szCs w:val="24"/>
        </w:rPr>
        <w:t>Диаграмма 3.15</w:t>
      </w:r>
      <w:r w:rsidR="00612984" w:rsidRPr="00284E23">
        <w:rPr>
          <w:rFonts w:ascii="Times New Roman" w:hAnsi="Times New Roman" w:cs="Times New Roman"/>
          <w:b/>
          <w:sz w:val="24"/>
          <w:szCs w:val="24"/>
        </w:rPr>
        <w:t>.</w:t>
      </w:r>
    </w:p>
    <w:p w:rsidR="004A2B9B" w:rsidRPr="00C02A98" w:rsidRDefault="004A2B9B" w:rsidP="001C6F24">
      <w:pPr>
        <w:spacing w:after="0" w:line="240" w:lineRule="auto"/>
        <w:ind w:firstLine="720"/>
        <w:jc w:val="right"/>
        <w:rPr>
          <w:rFonts w:ascii="Times New Roman" w:hAnsi="Times New Roman" w:cs="Times New Roman"/>
          <w:sz w:val="24"/>
          <w:szCs w:val="24"/>
        </w:rPr>
      </w:pPr>
    </w:p>
    <w:p w:rsidR="00612984" w:rsidRPr="00284E23" w:rsidRDefault="00612984" w:rsidP="00510B62">
      <w:pPr>
        <w:spacing w:after="0" w:line="240" w:lineRule="auto"/>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6241914" cy="2435829"/>
            <wp:effectExtent l="8323" t="5413" r="8323" b="5413"/>
            <wp:docPr id="32"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ab/>
        <w:t>На водоводах перекачивающих сточную воду в 2017 году произошло 142 порыва  (за аналогичный период 2016 года – 223 порыва), из них: по причине наружной коррозии – 33 порывов, внутренней коррозии – 86 порывов, КРН – 10, по прочим причинам – 13.</w:t>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ab/>
        <w:t xml:space="preserve">Наибольше число порывов по причине внутренней коррозии произошло на трубопроводах 1994-1998гг строительства (67шт) и 2000года (18шт).  Наибольшее количество порывов по наружной коррозии также произошло на трубопроводах 1991 -1996 годов строительства (20шт.) </w:t>
      </w: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Причиной высокой порывности водоводов 1994 -1998 годов строительства является не соблюдение ГОСТ 380-94 заводами изготовителями при изготовлении трубопроводов.</w:t>
      </w:r>
    </w:p>
    <w:p w:rsidR="00612984" w:rsidRPr="00284E23" w:rsidRDefault="00612984" w:rsidP="00985203">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90 порывов (63,4 % от общего количества порывов на сточной воде) произошли на водоводах, отработавших нормативный срок.</w:t>
      </w:r>
    </w:p>
    <w:p w:rsidR="00985203" w:rsidRDefault="00612984" w:rsidP="001C6F24">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ab/>
        <w:t xml:space="preserve">На </w:t>
      </w:r>
      <w:r w:rsidRPr="00284E23">
        <w:rPr>
          <w:rFonts w:ascii="Times New Roman" w:hAnsi="Times New Roman" w:cs="Times New Roman"/>
          <w:b/>
          <w:sz w:val="24"/>
          <w:szCs w:val="24"/>
        </w:rPr>
        <w:t>диагра</w:t>
      </w:r>
      <w:r w:rsidR="00985203">
        <w:rPr>
          <w:rFonts w:ascii="Times New Roman" w:hAnsi="Times New Roman" w:cs="Times New Roman"/>
          <w:b/>
          <w:sz w:val="24"/>
          <w:szCs w:val="24"/>
        </w:rPr>
        <w:t>мме 3.16</w:t>
      </w:r>
      <w:r w:rsidRPr="00284E23">
        <w:rPr>
          <w:rFonts w:ascii="Times New Roman" w:hAnsi="Times New Roman" w:cs="Times New Roman"/>
          <w:b/>
          <w:sz w:val="24"/>
          <w:szCs w:val="24"/>
        </w:rPr>
        <w:t>.</w:t>
      </w:r>
      <w:r w:rsidRPr="00284E23">
        <w:rPr>
          <w:rFonts w:ascii="Times New Roman" w:hAnsi="Times New Roman" w:cs="Times New Roman"/>
          <w:sz w:val="24"/>
          <w:szCs w:val="24"/>
        </w:rPr>
        <w:t>представленапорывность водоводов подводящих и разводящих сточную воду, в том числе защищенных от внутренней коррозии МПТ за  2015 -2017гг.</w:t>
      </w:r>
    </w:p>
    <w:p w:rsidR="00985203" w:rsidRDefault="00985203" w:rsidP="00510B62">
      <w:pPr>
        <w:spacing w:after="0" w:line="240" w:lineRule="auto"/>
        <w:jc w:val="right"/>
        <w:rPr>
          <w:rFonts w:ascii="Times New Roman" w:hAnsi="Times New Roman" w:cs="Times New Roman"/>
          <w:sz w:val="24"/>
          <w:szCs w:val="24"/>
        </w:rPr>
      </w:pPr>
    </w:p>
    <w:p w:rsidR="004A2B9B" w:rsidRDefault="004A2B9B" w:rsidP="00510B62">
      <w:pPr>
        <w:spacing w:after="0" w:line="240" w:lineRule="auto"/>
        <w:jc w:val="right"/>
        <w:rPr>
          <w:rFonts w:ascii="Times New Roman" w:hAnsi="Times New Roman" w:cs="Times New Roman"/>
          <w:b/>
          <w:sz w:val="24"/>
          <w:szCs w:val="24"/>
        </w:rPr>
      </w:pPr>
    </w:p>
    <w:p w:rsidR="004A2B9B" w:rsidRDefault="004A2B9B" w:rsidP="00510B62">
      <w:pPr>
        <w:spacing w:after="0" w:line="240" w:lineRule="auto"/>
        <w:jc w:val="right"/>
        <w:rPr>
          <w:rFonts w:ascii="Times New Roman" w:hAnsi="Times New Roman" w:cs="Times New Roman"/>
          <w:b/>
          <w:sz w:val="24"/>
          <w:szCs w:val="24"/>
        </w:rPr>
      </w:pPr>
    </w:p>
    <w:p w:rsidR="00612984" w:rsidRDefault="00985203" w:rsidP="00510B62">
      <w:pPr>
        <w:spacing w:after="0" w:line="240" w:lineRule="auto"/>
        <w:jc w:val="right"/>
        <w:rPr>
          <w:rFonts w:ascii="Times New Roman" w:hAnsi="Times New Roman" w:cs="Times New Roman"/>
          <w:sz w:val="24"/>
          <w:szCs w:val="24"/>
        </w:rPr>
      </w:pPr>
      <w:r>
        <w:rPr>
          <w:rFonts w:ascii="Times New Roman" w:hAnsi="Times New Roman" w:cs="Times New Roman"/>
          <w:b/>
          <w:sz w:val="24"/>
          <w:szCs w:val="24"/>
        </w:rPr>
        <w:t>Диаграмма  3.16</w:t>
      </w:r>
      <w:r w:rsidR="00612984" w:rsidRPr="00284E23">
        <w:rPr>
          <w:rFonts w:ascii="Times New Roman" w:hAnsi="Times New Roman" w:cs="Times New Roman"/>
          <w:sz w:val="24"/>
          <w:szCs w:val="24"/>
        </w:rPr>
        <w:t>.</w:t>
      </w:r>
    </w:p>
    <w:p w:rsidR="004A2B9B" w:rsidRPr="00284E23" w:rsidRDefault="004A2B9B" w:rsidP="00510B62">
      <w:pPr>
        <w:spacing w:after="0" w:line="240" w:lineRule="auto"/>
        <w:jc w:val="right"/>
        <w:rPr>
          <w:rFonts w:ascii="Times New Roman" w:hAnsi="Times New Roman" w:cs="Times New Roman"/>
          <w:sz w:val="24"/>
          <w:szCs w:val="24"/>
        </w:rPr>
      </w:pP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838825" cy="3124200"/>
            <wp:effectExtent l="0" t="0" r="0" b="0"/>
            <wp:docPr id="34"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85203" w:rsidRDefault="00985203" w:rsidP="00510B62">
      <w:pPr>
        <w:spacing w:after="0" w:line="240" w:lineRule="auto"/>
        <w:ind w:firstLine="720"/>
        <w:jc w:val="both"/>
        <w:rPr>
          <w:rFonts w:ascii="Times New Roman" w:hAnsi="Times New Roman" w:cs="Times New Roman"/>
          <w:sz w:val="24"/>
          <w:szCs w:val="24"/>
        </w:rPr>
      </w:pPr>
    </w:p>
    <w:p w:rsidR="00612984" w:rsidRPr="00284E23" w:rsidRDefault="00612984" w:rsidP="001C6F24">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Как видно из диаграммы на защищенных МПТ водоводах за 2017 год произошло 139 порывов (из них 137 порывов на сточных водоводах).</w:t>
      </w:r>
    </w:p>
    <w:p w:rsidR="00612984" w:rsidRPr="00284E23" w:rsidRDefault="00612984" w:rsidP="001C6F24">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По видам коррозии порывы на трубопроводах </w:t>
      </w:r>
      <w:r w:rsidRPr="00284E23">
        <w:rPr>
          <w:rFonts w:ascii="Times New Roman" w:hAnsi="Times New Roman" w:cs="Times New Roman"/>
          <w:sz w:val="24"/>
          <w:szCs w:val="24"/>
          <w:u w:val="single"/>
        </w:rPr>
        <w:t>в МПТ исполнении</w:t>
      </w:r>
      <w:r w:rsidRPr="00284E23">
        <w:rPr>
          <w:rFonts w:ascii="Times New Roman" w:hAnsi="Times New Roman" w:cs="Times New Roman"/>
          <w:sz w:val="24"/>
          <w:szCs w:val="24"/>
        </w:rPr>
        <w:t xml:space="preserve"> распределились следующим образом:</w:t>
      </w:r>
    </w:p>
    <w:p w:rsidR="00612984" w:rsidRPr="00284E23" w:rsidRDefault="00612984" w:rsidP="001C6F24">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на подводящих сточных водоводах 37 порывов, в том числе: ВК–32 порыва; БС – 1 порыв; БЗ – 2 порыва; КРН – 1 порыв; АЗ на ЭИС – 1 порыв;</w:t>
      </w:r>
    </w:p>
    <w:p w:rsidR="00612984" w:rsidRPr="00284E23" w:rsidRDefault="00612984" w:rsidP="001C6F24">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на разводящих сточных водоводах 100 порывов, в том числе: НК - 31 порыв, ВК - 52 порыва, КРН – 9 порывов, АЗ на ЭИС – 4 порывов, брак строительства – 2 порыва, мех.воздействие – 1 порыв, разгерметизация на ЭИС – 1порыв.</w:t>
      </w:r>
    </w:p>
    <w:p w:rsidR="00612984" w:rsidRPr="00284E23" w:rsidRDefault="00612984" w:rsidP="001C6F24">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Всего по внутренней коррозии на МПТ водоводах произошло 84 порыва (60,4% от общего количества порывов на МПТ). За 2017г. Из-за износа протекторной втулки в зоне полевого сварного шва назащищенных МПТ произошло – 68 порывов (за 2016 год – 109 порывов).</w:t>
      </w:r>
    </w:p>
    <w:p w:rsidR="00612984" w:rsidRPr="00284E23" w:rsidRDefault="00612984" w:rsidP="001C6F24">
      <w:pPr>
        <w:spacing w:after="0" w:line="240" w:lineRule="auto"/>
        <w:ind w:firstLine="708"/>
        <w:jc w:val="both"/>
        <w:rPr>
          <w:rFonts w:ascii="Times New Roman" w:hAnsi="Times New Roman" w:cs="Times New Roman"/>
          <w:sz w:val="24"/>
          <w:szCs w:val="24"/>
        </w:rPr>
      </w:pPr>
      <w:r w:rsidRPr="00284E23">
        <w:rPr>
          <w:rFonts w:ascii="Times New Roman" w:hAnsi="Times New Roman" w:cs="Times New Roman"/>
          <w:sz w:val="24"/>
          <w:szCs w:val="24"/>
        </w:rPr>
        <w:t>Одной из причин преждевременных отказов трубопроводов из МПТ является установки «черных отводов, катушек и тройников». При установке черной вставки нарушается герметичность между стальной трубой и наконечником, из-за непровара по свариваемому стыку наконечника с трубой. В результате этого перекачиваемая агрессивная жидкость попадает между защищаемой стальной трубой и полиэтиленовой пленкой, образуя застойный участок, где начинает происходить интенсивная очаговая коррозия.Выполнение кусочного ремонта водоводов представлена</w:t>
      </w:r>
      <w:r w:rsidR="00985203">
        <w:rPr>
          <w:rFonts w:ascii="Times New Roman" w:hAnsi="Times New Roman" w:cs="Times New Roman"/>
          <w:sz w:val="24"/>
          <w:szCs w:val="24"/>
        </w:rPr>
        <w:t>на диаграмме 3.17</w:t>
      </w:r>
      <w:r w:rsidRPr="00284E23">
        <w:rPr>
          <w:rFonts w:ascii="Times New Roman" w:hAnsi="Times New Roman" w:cs="Times New Roman"/>
          <w:sz w:val="24"/>
          <w:szCs w:val="24"/>
        </w:rPr>
        <w:t>.</w:t>
      </w: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985203" w:rsidRDefault="00985203" w:rsidP="00510B62">
      <w:pPr>
        <w:spacing w:after="0" w:line="240" w:lineRule="auto"/>
        <w:ind w:firstLine="708"/>
        <w:jc w:val="right"/>
        <w:rPr>
          <w:rFonts w:ascii="Times New Roman" w:hAnsi="Times New Roman" w:cs="Times New Roman"/>
          <w:b/>
          <w:sz w:val="24"/>
          <w:szCs w:val="24"/>
        </w:rPr>
      </w:pPr>
    </w:p>
    <w:p w:rsidR="004A2B9B" w:rsidRDefault="004A2B9B" w:rsidP="00510B62">
      <w:pPr>
        <w:spacing w:after="0" w:line="240" w:lineRule="auto"/>
        <w:ind w:firstLine="708"/>
        <w:jc w:val="right"/>
        <w:rPr>
          <w:rFonts w:ascii="Times New Roman" w:hAnsi="Times New Roman" w:cs="Times New Roman"/>
          <w:b/>
          <w:sz w:val="24"/>
          <w:szCs w:val="24"/>
        </w:rPr>
      </w:pPr>
    </w:p>
    <w:p w:rsidR="00612984" w:rsidRDefault="00985203" w:rsidP="00510B62">
      <w:pPr>
        <w:spacing w:after="0" w:line="240" w:lineRule="auto"/>
        <w:ind w:firstLine="708"/>
        <w:jc w:val="right"/>
        <w:rPr>
          <w:rFonts w:ascii="Times New Roman" w:hAnsi="Times New Roman" w:cs="Times New Roman"/>
          <w:b/>
          <w:sz w:val="24"/>
          <w:szCs w:val="24"/>
        </w:rPr>
      </w:pPr>
      <w:r>
        <w:rPr>
          <w:rFonts w:ascii="Times New Roman" w:hAnsi="Times New Roman" w:cs="Times New Roman"/>
          <w:b/>
          <w:sz w:val="24"/>
          <w:szCs w:val="24"/>
        </w:rPr>
        <w:lastRenderedPageBreak/>
        <w:t>Диаграмма 3.17</w:t>
      </w:r>
    </w:p>
    <w:p w:rsidR="004A2B9B" w:rsidRPr="00284E23" w:rsidRDefault="004A2B9B" w:rsidP="00510B62">
      <w:pPr>
        <w:spacing w:after="0" w:line="240" w:lineRule="auto"/>
        <w:ind w:firstLine="708"/>
        <w:jc w:val="right"/>
        <w:rPr>
          <w:rFonts w:ascii="Times New Roman" w:hAnsi="Times New Roman" w:cs="Times New Roman"/>
          <w:b/>
          <w:sz w:val="24"/>
          <w:szCs w:val="24"/>
        </w:rPr>
      </w:pPr>
    </w:p>
    <w:p w:rsidR="00612984" w:rsidRPr="00284E23" w:rsidRDefault="00612984" w:rsidP="00510B62">
      <w:pPr>
        <w:spacing w:after="0" w:line="240" w:lineRule="auto"/>
        <w:jc w:val="center"/>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876925" cy="4029075"/>
            <wp:effectExtent l="0" t="0" r="0" b="0"/>
            <wp:docPr id="35"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 xml:space="preserve">Кусочным ремонтом заменено 3,7м водоводов. </w:t>
      </w: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Основной причиной порывов водоводов, перекачивающих пресную воду, за 2016 год явилось естественное старение трубопроводов (90% водоводов со сроком эксплуатации более 25 лет).</w:t>
      </w:r>
    </w:p>
    <w:p w:rsidR="00612984" w:rsidRPr="00284E23" w:rsidRDefault="00612984" w:rsidP="00510B62">
      <w:pPr>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Основными причинами порывов водоводов, перекачивающих сточную воду, за 2016 год явились:</w:t>
      </w:r>
    </w:p>
    <w:p w:rsidR="00612984" w:rsidRPr="00284E23" w:rsidRDefault="00612984" w:rsidP="00510B62">
      <w:pPr>
        <w:numPr>
          <w:ilvl w:val="0"/>
          <w:numId w:val="11"/>
        </w:numPr>
        <w:tabs>
          <w:tab w:val="num" w:pos="426"/>
          <w:tab w:val="num" w:pos="1080"/>
        </w:tabs>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Наибольшее количество порывов произошло на трубопроводах 1993 - 1996 год строительства и 2000 года строительства – 101 порыв (45,3% от общего количества порывов на сточной воде) по наружной, внутренней коррозии и КРН, возможно из–за несоблюдения ГОСТ 380-94 заводами изготовителями при изготовлении трубопроводов;</w:t>
      </w:r>
    </w:p>
    <w:p w:rsidR="00612984" w:rsidRPr="00284E23" w:rsidRDefault="00612984" w:rsidP="00510B62">
      <w:pPr>
        <w:numPr>
          <w:ilvl w:val="0"/>
          <w:numId w:val="11"/>
        </w:numPr>
        <w:tabs>
          <w:tab w:val="num" w:pos="426"/>
          <w:tab w:val="num" w:pos="1080"/>
        </w:tabs>
        <w:spacing w:after="0" w:line="240" w:lineRule="auto"/>
        <w:ind w:left="426" w:hanging="426"/>
        <w:rPr>
          <w:rFonts w:ascii="Times New Roman" w:hAnsi="Times New Roman" w:cs="Times New Roman"/>
          <w:sz w:val="24"/>
          <w:szCs w:val="24"/>
        </w:rPr>
      </w:pPr>
      <w:r w:rsidRPr="00284E23">
        <w:rPr>
          <w:rFonts w:ascii="Times New Roman" w:hAnsi="Times New Roman" w:cs="Times New Roman"/>
          <w:sz w:val="24"/>
          <w:szCs w:val="24"/>
        </w:rPr>
        <w:t>Порывы водоводов со сроком эксплуатации водоводов более 15 лет – 85%;</w:t>
      </w:r>
    </w:p>
    <w:p w:rsidR="00612984" w:rsidRPr="00284E23" w:rsidRDefault="00612984" w:rsidP="00510B62">
      <w:pPr>
        <w:numPr>
          <w:ilvl w:val="0"/>
          <w:numId w:val="11"/>
        </w:numPr>
        <w:tabs>
          <w:tab w:val="num" w:pos="426"/>
          <w:tab w:val="num" w:pos="1080"/>
        </w:tabs>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Несовершенство конструкции сварного стыка МПТ исполнения. 80 порывов в зоне полевого сварного шва (49 % от общего количества порывов на сточной воде);</w:t>
      </w:r>
    </w:p>
    <w:p w:rsidR="00612984" w:rsidRPr="00284E23" w:rsidRDefault="00612984" w:rsidP="00510B62">
      <w:pPr>
        <w:numPr>
          <w:ilvl w:val="0"/>
          <w:numId w:val="11"/>
        </w:numPr>
        <w:tabs>
          <w:tab w:val="num" w:pos="426"/>
          <w:tab w:val="num" w:pos="567"/>
          <w:tab w:val="num" w:pos="851"/>
        </w:tabs>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 xml:space="preserve"> «Черные вставки и отводы» - причина порывов по внутренней коррозии МПТ водоводов в 20 случаях или 13,3% от 150 порывов по ВК;</w:t>
      </w:r>
    </w:p>
    <w:p w:rsidR="00612984" w:rsidRPr="00284E23" w:rsidRDefault="00612984" w:rsidP="00510B62">
      <w:pPr>
        <w:numPr>
          <w:ilvl w:val="0"/>
          <w:numId w:val="11"/>
        </w:numPr>
        <w:tabs>
          <w:tab w:val="num" w:pos="426"/>
          <w:tab w:val="num" w:pos="851"/>
        </w:tabs>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Высокая коррозионная агрессивность перекачиваемых сред на всех водоводах.</w:t>
      </w:r>
    </w:p>
    <w:p w:rsidR="00612984" w:rsidRPr="00284E23" w:rsidRDefault="00612984" w:rsidP="00510B62">
      <w:pPr>
        <w:spacing w:after="0" w:line="240" w:lineRule="auto"/>
        <w:ind w:firstLine="705"/>
        <w:jc w:val="both"/>
        <w:rPr>
          <w:rFonts w:ascii="Times New Roman" w:hAnsi="Times New Roman" w:cs="Times New Roman"/>
          <w:sz w:val="24"/>
          <w:szCs w:val="24"/>
        </w:rPr>
      </w:pPr>
      <w:r w:rsidRPr="00284E23">
        <w:rPr>
          <w:rFonts w:ascii="Times New Roman" w:hAnsi="Times New Roman" w:cs="Times New Roman"/>
          <w:sz w:val="24"/>
          <w:szCs w:val="24"/>
        </w:rPr>
        <w:t>Для сокращения порывности водоводов по причине наружной и внутренней коррозии необходимо:</w:t>
      </w:r>
    </w:p>
    <w:p w:rsidR="00612984" w:rsidRPr="00284E23" w:rsidRDefault="00612984" w:rsidP="00510B62">
      <w:pPr>
        <w:widowControl w:val="0"/>
        <w:numPr>
          <w:ilvl w:val="0"/>
          <w:numId w:val="13"/>
        </w:numPr>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Продолжить ингибирование добываемой жидкости. Строго выполнять требования  РД 153-39.0-933-15 «Организация ингибиторной защиты трубопроводов и нефтепромыслового оборудования».</w:t>
      </w:r>
    </w:p>
    <w:p w:rsidR="00612984" w:rsidRPr="00284E23" w:rsidRDefault="00612984" w:rsidP="00510B62">
      <w:pPr>
        <w:widowControl w:val="0"/>
        <w:numPr>
          <w:ilvl w:val="0"/>
          <w:numId w:val="13"/>
        </w:numPr>
        <w:spacing w:after="0" w:line="240" w:lineRule="auto"/>
        <w:ind w:left="426" w:hanging="426"/>
        <w:jc w:val="both"/>
        <w:rPr>
          <w:rFonts w:ascii="Times New Roman" w:hAnsi="Times New Roman" w:cs="Times New Roman"/>
          <w:sz w:val="24"/>
          <w:szCs w:val="24"/>
        </w:rPr>
      </w:pPr>
      <w:r w:rsidRPr="00284E23">
        <w:rPr>
          <w:rFonts w:ascii="Times New Roman" w:hAnsi="Times New Roman" w:cs="Times New Roman"/>
          <w:sz w:val="24"/>
          <w:szCs w:val="24"/>
        </w:rPr>
        <w:t>Рекомендуется производить кусочный и капитальный ремонт по замене участков  в зоне полевых сварных швов на  МПТ водоводах с порывами, произошедшими из-за выработки протекторных втулок.</w:t>
      </w:r>
    </w:p>
    <w:p w:rsidR="00612984" w:rsidRPr="00284E23" w:rsidRDefault="00612984" w:rsidP="00510B62">
      <w:pPr>
        <w:spacing w:after="0" w:line="240" w:lineRule="auto"/>
        <w:rPr>
          <w:rFonts w:ascii="Times New Roman" w:eastAsia="Calibri" w:hAnsi="Times New Roman" w:cs="Times New Roman"/>
          <w:sz w:val="24"/>
          <w:szCs w:val="24"/>
          <w:highlight w:val="yellow"/>
          <w:lang w:eastAsia="en-US"/>
        </w:rPr>
      </w:pPr>
      <w:r w:rsidRPr="00284E23">
        <w:rPr>
          <w:rFonts w:ascii="Times New Roman" w:hAnsi="Times New Roman" w:cs="Times New Roman"/>
          <w:sz w:val="24"/>
          <w:szCs w:val="24"/>
        </w:rPr>
        <w:lastRenderedPageBreak/>
        <w:t>Цеху ППД неукоснительно выполнять рекомендации по ликвидации порывов заменой катушек поврежденных участков трубопроводов</w:t>
      </w:r>
    </w:p>
    <w:p w:rsidR="00612984" w:rsidRPr="00284E23" w:rsidRDefault="00612984" w:rsidP="00510B62">
      <w:pPr>
        <w:spacing w:after="0" w:line="240" w:lineRule="auto"/>
        <w:rPr>
          <w:rFonts w:ascii="Times New Roman" w:eastAsia="Calibri" w:hAnsi="Times New Roman" w:cs="Times New Roman"/>
          <w:sz w:val="24"/>
          <w:szCs w:val="24"/>
          <w:highlight w:val="yellow"/>
          <w:lang w:eastAsia="en-US"/>
        </w:rPr>
      </w:pPr>
    </w:p>
    <w:p w:rsidR="00612984" w:rsidRPr="00A33018" w:rsidRDefault="00612984" w:rsidP="00A33018">
      <w:pPr>
        <w:pStyle w:val="a8"/>
        <w:numPr>
          <w:ilvl w:val="1"/>
          <w:numId w:val="12"/>
        </w:numPr>
        <w:spacing w:after="0" w:line="240" w:lineRule="auto"/>
        <w:jc w:val="center"/>
        <w:rPr>
          <w:b/>
          <w:bCs/>
          <w:sz w:val="24"/>
          <w:szCs w:val="24"/>
        </w:rPr>
      </w:pPr>
      <w:r w:rsidRPr="00A33018">
        <w:rPr>
          <w:b/>
          <w:bCs/>
          <w:sz w:val="24"/>
          <w:szCs w:val="24"/>
        </w:rPr>
        <w:t>Защита трубопроводов от внутренней коррозии</w:t>
      </w:r>
    </w:p>
    <w:p w:rsidR="00A33018" w:rsidRPr="00A33018" w:rsidRDefault="00A33018" w:rsidP="00A33018">
      <w:pPr>
        <w:pStyle w:val="a8"/>
        <w:spacing w:after="0" w:line="240" w:lineRule="auto"/>
        <w:ind w:left="1287"/>
        <w:rPr>
          <w:b/>
          <w:bCs/>
          <w:sz w:val="24"/>
          <w:szCs w:val="24"/>
        </w:rPr>
      </w:pPr>
    </w:p>
    <w:p w:rsidR="00612984" w:rsidRPr="00284E23" w:rsidRDefault="00612984" w:rsidP="00510B62">
      <w:pPr>
        <w:spacing w:after="0" w:line="240" w:lineRule="auto"/>
        <w:ind w:firstLine="709"/>
        <w:jc w:val="both"/>
        <w:rPr>
          <w:rFonts w:ascii="Times New Roman" w:hAnsi="Times New Roman" w:cs="Times New Roman"/>
          <w:sz w:val="24"/>
          <w:szCs w:val="24"/>
        </w:rPr>
      </w:pPr>
      <w:r w:rsidRPr="00284E23">
        <w:rPr>
          <w:rFonts w:ascii="Times New Roman" w:hAnsi="Times New Roman" w:cs="Times New Roman"/>
          <w:sz w:val="24"/>
          <w:szCs w:val="24"/>
        </w:rPr>
        <w:t xml:space="preserve">Для защиты от внутренней коррозии в НГДУ «Джалильнефть» применяются ингибиторы коррозии (ИК), бактерициды и трубопроводы коррозионностойкого исполнения (МПТ, ППТ, ТПС-У, МПТ-К). На </w:t>
      </w:r>
      <w:r w:rsidR="00985203">
        <w:rPr>
          <w:rFonts w:ascii="Times New Roman" w:hAnsi="Times New Roman" w:cs="Times New Roman"/>
          <w:b/>
          <w:bCs/>
          <w:sz w:val="24"/>
          <w:szCs w:val="24"/>
        </w:rPr>
        <w:t>диаграмме 3.18</w:t>
      </w:r>
      <w:r w:rsidRPr="00284E23">
        <w:rPr>
          <w:rFonts w:ascii="Times New Roman" w:hAnsi="Times New Roman" w:cs="Times New Roman"/>
          <w:b/>
          <w:bCs/>
          <w:sz w:val="24"/>
          <w:szCs w:val="24"/>
        </w:rPr>
        <w:t>.</w:t>
      </w:r>
      <w:r w:rsidRPr="00284E23">
        <w:rPr>
          <w:rFonts w:ascii="Times New Roman" w:hAnsi="Times New Roman" w:cs="Times New Roman"/>
          <w:sz w:val="24"/>
          <w:szCs w:val="24"/>
        </w:rPr>
        <w:t xml:space="preserve"> представлена протяженность выкидных, н/сборных  и напорных линий, оснащенность их трубами МПТ (ППТ) и защищенность ингибиторами коррозии.    Защищенность ИК выкидных и сборных + напорных нефтепроводов составляет соответственно 0,9 % и 36,6 %, оснащенность МПТ (ППТ) – для выкидных –    66,6 %,  для сборных и напорных – 66,7 %. Выкидные нефтепровода в ТС исполнении обрабатываются ИК по мере выявления отказов по причине внутренней коррозии.</w:t>
      </w:r>
    </w:p>
    <w:p w:rsidR="00612984" w:rsidRDefault="00985203" w:rsidP="00510B62">
      <w:pPr>
        <w:keepNext/>
        <w:spacing w:after="0" w:line="240" w:lineRule="auto"/>
        <w:jc w:val="right"/>
        <w:outlineLvl w:val="1"/>
        <w:rPr>
          <w:rFonts w:ascii="Times New Roman" w:hAnsi="Times New Roman" w:cs="Times New Roman"/>
          <w:b/>
          <w:sz w:val="24"/>
          <w:szCs w:val="24"/>
        </w:rPr>
      </w:pPr>
      <w:r>
        <w:rPr>
          <w:rFonts w:ascii="Times New Roman" w:hAnsi="Times New Roman" w:cs="Times New Roman"/>
          <w:b/>
          <w:sz w:val="24"/>
          <w:szCs w:val="24"/>
        </w:rPr>
        <w:t>Диаграмма 3.18</w:t>
      </w:r>
      <w:r w:rsidR="00612984" w:rsidRPr="00284E23">
        <w:rPr>
          <w:rFonts w:ascii="Times New Roman" w:hAnsi="Times New Roman" w:cs="Times New Roman"/>
          <w:b/>
          <w:sz w:val="24"/>
          <w:szCs w:val="24"/>
        </w:rPr>
        <w:t>.</w:t>
      </w:r>
    </w:p>
    <w:p w:rsidR="004A2B9B" w:rsidRPr="00284E23" w:rsidRDefault="004A2B9B" w:rsidP="00510B62">
      <w:pPr>
        <w:keepNext/>
        <w:spacing w:after="0" w:line="240" w:lineRule="auto"/>
        <w:jc w:val="right"/>
        <w:outlineLvl w:val="1"/>
        <w:rPr>
          <w:rFonts w:ascii="Times New Roman" w:hAnsi="Times New Roman" w:cs="Times New Roman"/>
          <w:b/>
          <w:sz w:val="24"/>
          <w:szCs w:val="24"/>
        </w:rPr>
      </w:pPr>
    </w:p>
    <w:p w:rsidR="00612984" w:rsidRPr="00284E23" w:rsidRDefault="00612984" w:rsidP="00510B62">
      <w:pPr>
        <w:spacing w:after="0" w:line="240" w:lineRule="auto"/>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690235" cy="4138295"/>
            <wp:effectExtent l="19050" t="0" r="24765" b="0"/>
            <wp:docPr id="4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85203" w:rsidRDefault="00612984" w:rsidP="00625061">
      <w:p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 xml:space="preserve">                 В 2017г было применено 1219,413т ингибиторов коррозии, в том числе бактерицидов 163,9т. </w:t>
      </w: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985203" w:rsidRDefault="00985203" w:rsidP="00625061">
      <w:pPr>
        <w:spacing w:after="0" w:line="240" w:lineRule="auto"/>
        <w:jc w:val="both"/>
        <w:rPr>
          <w:rFonts w:ascii="Times New Roman" w:hAnsi="Times New Roman" w:cs="Times New Roman"/>
          <w:sz w:val="24"/>
          <w:szCs w:val="24"/>
        </w:rPr>
      </w:pPr>
    </w:p>
    <w:p w:rsidR="00612984" w:rsidRDefault="00612984" w:rsidP="00985203">
      <w:pPr>
        <w:spacing w:after="0" w:line="240" w:lineRule="auto"/>
        <w:jc w:val="right"/>
        <w:rPr>
          <w:rFonts w:ascii="Times New Roman" w:hAnsi="Times New Roman" w:cs="Times New Roman"/>
          <w:b/>
          <w:sz w:val="24"/>
          <w:szCs w:val="24"/>
        </w:rPr>
      </w:pPr>
      <w:r w:rsidRPr="00284E23">
        <w:rPr>
          <w:rFonts w:ascii="Times New Roman" w:hAnsi="Times New Roman" w:cs="Times New Roman"/>
          <w:b/>
          <w:sz w:val="24"/>
          <w:szCs w:val="24"/>
        </w:rPr>
        <w:lastRenderedPageBreak/>
        <w:t>Диаграмм</w:t>
      </w:r>
      <w:r w:rsidR="008817D1">
        <w:rPr>
          <w:rFonts w:ascii="Times New Roman" w:hAnsi="Times New Roman" w:cs="Times New Roman"/>
          <w:b/>
          <w:sz w:val="24"/>
          <w:szCs w:val="24"/>
        </w:rPr>
        <w:t>а 3.18</w:t>
      </w:r>
    </w:p>
    <w:p w:rsidR="004A2B9B" w:rsidRPr="00284E23" w:rsidRDefault="004A2B9B" w:rsidP="00985203">
      <w:pPr>
        <w:spacing w:after="0" w:line="240" w:lineRule="auto"/>
        <w:jc w:val="right"/>
        <w:rPr>
          <w:rFonts w:ascii="Times New Roman" w:hAnsi="Times New Roman" w:cs="Times New Roman"/>
          <w:sz w:val="24"/>
          <w:szCs w:val="24"/>
        </w:rPr>
      </w:pPr>
    </w:p>
    <w:p w:rsidR="00612984" w:rsidRPr="00284E23" w:rsidRDefault="00612984" w:rsidP="00510B62">
      <w:pPr>
        <w:spacing w:after="0" w:line="240" w:lineRule="auto"/>
        <w:jc w:val="center"/>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915025" cy="3192145"/>
            <wp:effectExtent l="19050" t="0" r="9525" b="8255"/>
            <wp:docPr id="47"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12984" w:rsidRPr="00284E23" w:rsidRDefault="00612984" w:rsidP="00510B62">
      <w:pPr>
        <w:spacing w:after="0" w:line="240" w:lineRule="auto"/>
        <w:ind w:firstLine="720"/>
        <w:jc w:val="both"/>
        <w:rPr>
          <w:rFonts w:ascii="Times New Roman" w:hAnsi="Times New Roman" w:cs="Times New Roman"/>
          <w:b/>
          <w:sz w:val="24"/>
          <w:szCs w:val="24"/>
        </w:rPr>
      </w:pPr>
    </w:p>
    <w:p w:rsidR="00612984" w:rsidRDefault="00612984" w:rsidP="00625061">
      <w:pPr>
        <w:spacing w:after="0" w:line="240" w:lineRule="auto"/>
        <w:ind w:firstLine="720"/>
        <w:jc w:val="both"/>
        <w:rPr>
          <w:rFonts w:ascii="Times New Roman" w:hAnsi="Times New Roman" w:cs="Times New Roman"/>
          <w:b/>
          <w:sz w:val="24"/>
          <w:szCs w:val="24"/>
        </w:rPr>
      </w:pPr>
      <w:r w:rsidRPr="00284E23">
        <w:rPr>
          <w:rFonts w:ascii="Times New Roman" w:hAnsi="Times New Roman" w:cs="Times New Roman"/>
          <w:sz w:val="24"/>
          <w:szCs w:val="24"/>
        </w:rPr>
        <w:t xml:space="preserve">Для защиты 342,5 км нефтесборных и напорных трубопроводов от ВК подано 469,092т ИК. </w:t>
      </w:r>
      <w:r w:rsidR="004A2B9B">
        <w:rPr>
          <w:rFonts w:ascii="Times New Roman" w:hAnsi="Times New Roman" w:cs="Times New Roman"/>
          <w:sz w:val="24"/>
          <w:szCs w:val="24"/>
        </w:rPr>
        <w:t xml:space="preserve">                                                                                                  </w:t>
      </w:r>
      <w:r w:rsidR="008817D1">
        <w:rPr>
          <w:rFonts w:ascii="Times New Roman" w:hAnsi="Times New Roman" w:cs="Times New Roman"/>
          <w:b/>
          <w:sz w:val="24"/>
          <w:szCs w:val="24"/>
        </w:rPr>
        <w:t>Диаграмма 3.19</w:t>
      </w:r>
      <w:r w:rsidRPr="00284E23">
        <w:rPr>
          <w:rFonts w:ascii="Times New Roman" w:hAnsi="Times New Roman" w:cs="Times New Roman"/>
          <w:b/>
          <w:sz w:val="24"/>
          <w:szCs w:val="24"/>
        </w:rPr>
        <w:t>.</w:t>
      </w:r>
    </w:p>
    <w:p w:rsidR="004A2B9B" w:rsidRPr="00284E23" w:rsidRDefault="004A2B9B" w:rsidP="00625061">
      <w:pPr>
        <w:spacing w:after="0" w:line="240" w:lineRule="auto"/>
        <w:ind w:firstLine="720"/>
        <w:jc w:val="both"/>
        <w:rPr>
          <w:rFonts w:ascii="Times New Roman" w:hAnsi="Times New Roman" w:cs="Times New Roman"/>
          <w:sz w:val="24"/>
          <w:szCs w:val="24"/>
        </w:rPr>
      </w:pP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928360" cy="3750945"/>
            <wp:effectExtent l="19050" t="0" r="15240" b="1905"/>
            <wp:docPr id="48"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612984" w:rsidRPr="00284E23" w:rsidRDefault="00612984" w:rsidP="00510B62">
      <w:pPr>
        <w:spacing w:after="0" w:line="240" w:lineRule="auto"/>
        <w:ind w:firstLine="720"/>
        <w:jc w:val="both"/>
        <w:rPr>
          <w:rFonts w:ascii="Times New Roman" w:hAnsi="Times New Roman" w:cs="Times New Roman"/>
          <w:b/>
          <w:sz w:val="24"/>
          <w:szCs w:val="24"/>
        </w:rPr>
      </w:pPr>
    </w:p>
    <w:p w:rsidR="00612984" w:rsidRPr="00284E23" w:rsidRDefault="00612984" w:rsidP="00625061">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В связи со строительством нефтесборных трубопроводов в антикоррозийном исполнении  количество точек подачи ИК в 2017 году в системе нефтесбора сократилось на 15 дозаторов. Протяженность  сборных и напорных нефтепроводов в ППТ и МПТ </w:t>
      </w:r>
      <w:r w:rsidRPr="00284E23">
        <w:rPr>
          <w:rFonts w:ascii="Times New Roman" w:hAnsi="Times New Roman" w:cs="Times New Roman"/>
          <w:sz w:val="24"/>
          <w:szCs w:val="24"/>
        </w:rPr>
        <w:lastRenderedPageBreak/>
        <w:t xml:space="preserve">исполнении увеличилось с 601,9км до 623,1км (увеличение на 3,5%), количество трубопроводов находящихся под ингибиторной защитой уменьшилось с 387,0км до 342,5км (на 11,5%). Динамика охвата нефтепроводов ингибиторной защитой представлена на </w:t>
      </w:r>
      <w:r w:rsidR="008817D1">
        <w:rPr>
          <w:rFonts w:ascii="Times New Roman" w:hAnsi="Times New Roman" w:cs="Times New Roman"/>
          <w:b/>
          <w:bCs/>
          <w:sz w:val="24"/>
          <w:szCs w:val="24"/>
        </w:rPr>
        <w:t>диаграмме 3.20</w:t>
      </w:r>
      <w:r w:rsidRPr="00284E23">
        <w:rPr>
          <w:rFonts w:ascii="Times New Roman" w:hAnsi="Times New Roman" w:cs="Times New Roman"/>
          <w:sz w:val="24"/>
          <w:szCs w:val="24"/>
        </w:rPr>
        <w:t>.</w:t>
      </w:r>
      <w:r w:rsidR="004A2B9B">
        <w:rPr>
          <w:rFonts w:ascii="Times New Roman" w:hAnsi="Times New Roman" w:cs="Times New Roman"/>
          <w:sz w:val="24"/>
          <w:szCs w:val="24"/>
        </w:rPr>
        <w:t xml:space="preserve">                                                                                           </w:t>
      </w:r>
      <w:r w:rsidR="008817D1">
        <w:rPr>
          <w:rFonts w:ascii="Times New Roman" w:hAnsi="Times New Roman" w:cs="Times New Roman"/>
          <w:b/>
          <w:sz w:val="24"/>
          <w:szCs w:val="24"/>
        </w:rPr>
        <w:t>Диаграмма 3.20</w:t>
      </w:r>
    </w:p>
    <w:p w:rsidR="00612984" w:rsidRPr="00284E23" w:rsidRDefault="00612984" w:rsidP="00510B62">
      <w:pPr>
        <w:spacing w:after="0" w:line="240" w:lineRule="auto"/>
        <w:jc w:val="both"/>
        <w:rPr>
          <w:rFonts w:ascii="Times New Roman" w:hAnsi="Times New Roman" w:cs="Times New Roman"/>
          <w:noProof/>
          <w:sz w:val="24"/>
          <w:szCs w:val="24"/>
        </w:rPr>
      </w:pPr>
      <w:r w:rsidRPr="00284E23">
        <w:rPr>
          <w:rFonts w:ascii="Times New Roman" w:hAnsi="Times New Roman" w:cs="Times New Roman"/>
          <w:noProof/>
          <w:sz w:val="24"/>
          <w:szCs w:val="24"/>
        </w:rPr>
        <w:drawing>
          <wp:inline distT="0" distB="0" distL="0" distR="0">
            <wp:extent cx="5928360" cy="3654425"/>
            <wp:effectExtent l="19050" t="0" r="15240" b="3175"/>
            <wp:docPr id="49"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В системе ППД за 2017 год было использовано 748,978тн ингибиторов коррозии. Подача ИК осуществляется с 13 узлов дозирования, расположенных на объектах подготовки сточных вод. Защищенность водоводов сточных вод ингибиторами коррозии составляет 100%. </w:t>
      </w: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Для разработки эффективных технологических мероприятий по борьбе с внутренней коррозией, оценки скорости коррозии нефтепромысловых объектов, определения эффективности применяемых методов защиты от коррозии, проводится коррозионный мониторинг на узлах коррозионного контроля (УКК). На 01.01.2018г. скорость коррозии на объектах НГДУ определяется на 166 точках, из них в системе ППД - на 59, в системе нефтесбора – на 104, в системе газосбора – 9шт. Охват нефтепроводов коррозионным</w:t>
      </w:r>
      <w:r w:rsidR="003362C2">
        <w:rPr>
          <w:rFonts w:ascii="Times New Roman" w:hAnsi="Times New Roman" w:cs="Times New Roman"/>
          <w:sz w:val="24"/>
          <w:szCs w:val="24"/>
        </w:rPr>
        <w:t xml:space="preserve"> мониторингом составляет 100 %                                             </w:t>
      </w:r>
      <w:r w:rsidR="003362C2">
        <w:rPr>
          <w:rFonts w:ascii="Times New Roman" w:hAnsi="Times New Roman" w:cs="Times New Roman"/>
          <w:b/>
          <w:sz w:val="24"/>
          <w:szCs w:val="24"/>
        </w:rPr>
        <w:t>Диаграмма 3.21</w:t>
      </w:r>
    </w:p>
    <w:p w:rsidR="00612984" w:rsidRPr="00284E23" w:rsidRDefault="00612984" w:rsidP="00510B62">
      <w:pPr>
        <w:spacing w:after="0" w:line="240" w:lineRule="auto"/>
        <w:jc w:val="both"/>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6067425" cy="2524125"/>
            <wp:effectExtent l="0" t="0" r="0" b="0"/>
            <wp:docPr id="50"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612984" w:rsidRPr="00284E23" w:rsidRDefault="00612984" w:rsidP="00510B62">
      <w:pPr>
        <w:spacing w:after="0" w:line="240" w:lineRule="auto"/>
        <w:ind w:firstLine="720"/>
        <w:jc w:val="both"/>
        <w:rPr>
          <w:rFonts w:ascii="Times New Roman" w:hAnsi="Times New Roman" w:cs="Times New Roman"/>
          <w:sz w:val="24"/>
          <w:szCs w:val="24"/>
        </w:rPr>
      </w:pP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С целью оптимизации и сокращения затрат, в 2017 году  было продолжено применение различных технологий обработки ингибиторами коррозии трубопроводов системы нефтесбора и ППД:</w:t>
      </w:r>
    </w:p>
    <w:p w:rsidR="00612984" w:rsidRPr="00284E23" w:rsidRDefault="00612984" w:rsidP="00510B62">
      <w:pPr>
        <w:numPr>
          <w:ilvl w:val="0"/>
          <w:numId w:val="14"/>
        </w:numPr>
        <w:spacing w:after="0" w:line="240" w:lineRule="auto"/>
        <w:jc w:val="both"/>
        <w:outlineLvl w:val="0"/>
        <w:rPr>
          <w:rFonts w:ascii="Times New Roman" w:hAnsi="Times New Roman" w:cs="Times New Roman"/>
          <w:sz w:val="24"/>
          <w:szCs w:val="24"/>
        </w:rPr>
      </w:pPr>
      <w:r w:rsidRPr="00284E23">
        <w:rPr>
          <w:rFonts w:ascii="Times New Roman" w:hAnsi="Times New Roman" w:cs="Times New Roman"/>
          <w:sz w:val="24"/>
          <w:szCs w:val="24"/>
        </w:rPr>
        <w:t>пробковая обработка;</w:t>
      </w:r>
    </w:p>
    <w:p w:rsidR="00612984" w:rsidRPr="00284E23" w:rsidRDefault="00612984" w:rsidP="00510B62">
      <w:pPr>
        <w:numPr>
          <w:ilvl w:val="0"/>
          <w:numId w:val="14"/>
        </w:num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защита системы футерованных полиэтиленом водоводов путем периодической подачи ингибиторов коррозии;</w:t>
      </w:r>
    </w:p>
    <w:p w:rsidR="00612984" w:rsidRPr="00284E23" w:rsidRDefault="00612984" w:rsidP="00510B62">
      <w:pPr>
        <w:numPr>
          <w:ilvl w:val="0"/>
          <w:numId w:val="14"/>
        </w:numPr>
        <w:spacing w:after="0" w:line="240" w:lineRule="auto"/>
        <w:jc w:val="both"/>
        <w:rPr>
          <w:rFonts w:ascii="Times New Roman" w:hAnsi="Times New Roman" w:cs="Times New Roman"/>
          <w:sz w:val="24"/>
          <w:szCs w:val="24"/>
        </w:rPr>
      </w:pPr>
      <w:r w:rsidRPr="00284E23">
        <w:rPr>
          <w:rFonts w:ascii="Times New Roman" w:hAnsi="Times New Roman" w:cs="Times New Roman"/>
          <w:sz w:val="24"/>
          <w:szCs w:val="24"/>
        </w:rPr>
        <w:t>оптимизация подачи ИК, с учетом эксплуатации трубопроводов коррозионно-стойкого исполнения.</w:t>
      </w: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Технология пробковой обработки сборных нефтепроводов сегодня применяется на трех ДНС: ДНС-1 ЦДНГ-5, ДНС-44 и ДНС-45 ЦДНГ №2.</w:t>
      </w:r>
    </w:p>
    <w:p w:rsidR="00612984" w:rsidRPr="00284E23" w:rsidRDefault="00612984" w:rsidP="00625061">
      <w:pPr>
        <w:spacing w:after="0" w:line="240" w:lineRule="auto"/>
        <w:ind w:firstLine="360"/>
        <w:jc w:val="both"/>
        <w:rPr>
          <w:rFonts w:ascii="Times New Roman" w:hAnsi="Times New Roman" w:cs="Times New Roman"/>
          <w:sz w:val="24"/>
          <w:szCs w:val="24"/>
        </w:rPr>
      </w:pPr>
      <w:r w:rsidRPr="00284E23">
        <w:rPr>
          <w:rFonts w:ascii="Times New Roman" w:hAnsi="Times New Roman" w:cs="Times New Roman"/>
          <w:sz w:val="24"/>
          <w:szCs w:val="24"/>
        </w:rPr>
        <w:t xml:space="preserve">   При плане 267,0 г/т, фактический удельный расход ИК в 2017 году составил 277,7 г/т (</w:t>
      </w:r>
      <w:r w:rsidR="003362C2" w:rsidRPr="00A33018">
        <w:rPr>
          <w:rFonts w:ascii="Times New Roman" w:hAnsi="Times New Roman" w:cs="Times New Roman"/>
          <w:sz w:val="24"/>
          <w:szCs w:val="24"/>
        </w:rPr>
        <w:t>диаграмма 3.22</w:t>
      </w:r>
      <w:r w:rsidRPr="00A33018">
        <w:rPr>
          <w:rFonts w:ascii="Times New Roman" w:hAnsi="Times New Roman" w:cs="Times New Roman"/>
          <w:sz w:val="24"/>
          <w:szCs w:val="24"/>
        </w:rPr>
        <w:t>.).</w:t>
      </w:r>
      <w:r w:rsidR="004A2B9B">
        <w:rPr>
          <w:rFonts w:ascii="Times New Roman" w:hAnsi="Times New Roman" w:cs="Times New Roman"/>
          <w:sz w:val="24"/>
          <w:szCs w:val="24"/>
        </w:rPr>
        <w:t xml:space="preserve">                                                                                             </w:t>
      </w:r>
      <w:r w:rsidRPr="00A33018">
        <w:rPr>
          <w:rFonts w:ascii="Times New Roman" w:hAnsi="Times New Roman" w:cs="Times New Roman"/>
          <w:sz w:val="24"/>
          <w:szCs w:val="24"/>
        </w:rPr>
        <w:t xml:space="preserve"> </w:t>
      </w:r>
      <w:r w:rsidR="003362C2">
        <w:rPr>
          <w:rFonts w:ascii="Times New Roman" w:hAnsi="Times New Roman" w:cs="Times New Roman"/>
          <w:b/>
          <w:sz w:val="24"/>
          <w:szCs w:val="24"/>
        </w:rPr>
        <w:t>Диаграмма 3.22</w:t>
      </w:r>
      <w:r w:rsidRPr="00284E23">
        <w:rPr>
          <w:rFonts w:ascii="Times New Roman" w:hAnsi="Times New Roman" w:cs="Times New Roman"/>
          <w:b/>
          <w:sz w:val="24"/>
          <w:szCs w:val="24"/>
        </w:rPr>
        <w:t>.</w:t>
      </w:r>
    </w:p>
    <w:p w:rsidR="00612984" w:rsidRPr="00284E23" w:rsidRDefault="00612984" w:rsidP="00510B62">
      <w:pPr>
        <w:spacing w:after="0" w:line="240" w:lineRule="auto"/>
        <w:jc w:val="center"/>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947410" cy="3559810"/>
            <wp:effectExtent l="19050" t="0" r="15240" b="2540"/>
            <wp:docPr id="51"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612984" w:rsidRPr="00284E23" w:rsidRDefault="00612984" w:rsidP="00510B62">
      <w:pPr>
        <w:spacing w:after="0" w:line="240" w:lineRule="auto"/>
        <w:ind w:firstLine="720"/>
        <w:jc w:val="both"/>
        <w:rPr>
          <w:rFonts w:ascii="Times New Roman" w:hAnsi="Times New Roman" w:cs="Times New Roman"/>
          <w:sz w:val="24"/>
          <w:szCs w:val="24"/>
        </w:rPr>
      </w:pP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Снижение расхода ИК  обусловлено остановкой фонда скважин.</w:t>
      </w:r>
    </w:p>
    <w:p w:rsidR="00612984" w:rsidRPr="00284E23" w:rsidRDefault="00612984" w:rsidP="00510B6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Начиная с 1999 года, ведется мониторинг зараженности объектов СВБ. Учитывая, что микробиологический фактор в общем коррозионном процессе в условиях НГДУ играет значительную роль, первостепенным становится вопрос выявления источников заражения с целью их подавления и снижения скоростей коррозии.</w:t>
      </w:r>
    </w:p>
    <w:p w:rsidR="00612984" w:rsidRPr="00284E23" w:rsidRDefault="00612984" w:rsidP="00510B62">
      <w:pPr>
        <w:spacing w:after="0" w:line="240" w:lineRule="auto"/>
        <w:ind w:firstLine="900"/>
        <w:jc w:val="both"/>
        <w:rPr>
          <w:rFonts w:ascii="Times New Roman" w:hAnsi="Times New Roman" w:cs="Times New Roman"/>
          <w:sz w:val="24"/>
          <w:szCs w:val="24"/>
        </w:rPr>
      </w:pPr>
      <w:r w:rsidRPr="00284E23">
        <w:rPr>
          <w:rFonts w:ascii="Times New Roman" w:hAnsi="Times New Roman" w:cs="Times New Roman"/>
          <w:sz w:val="24"/>
          <w:szCs w:val="24"/>
        </w:rPr>
        <w:t>Определение зараженности сульфатвосстанавливающими бактериями ведется по технологической цепочке (ОС-ТП-ДНС-ГЗУ-скважина).</w:t>
      </w:r>
    </w:p>
    <w:p w:rsidR="00612984" w:rsidRPr="00284E23" w:rsidRDefault="00612984" w:rsidP="00510B62">
      <w:pPr>
        <w:shd w:val="clear" w:color="auto" w:fill="FFFFFF"/>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Для снижения и подавления бактериальной зараженности нефтепромысловых объектов,  проводятся бактерицидные обработки  путем  подачи бактерицида на вход горизонтальных емкостей ДНС, обработка дренажных емкостей, пресных КНС и обработка выкидных нефтепроводов методом заливки раствора бактерицида в межтрубное пространство скважин с остановкой их на реагирование.</w:t>
      </w:r>
    </w:p>
    <w:p w:rsidR="00612984" w:rsidRPr="004A2B9B" w:rsidRDefault="00612984" w:rsidP="004A2B9B">
      <w:pPr>
        <w:shd w:val="clear" w:color="auto" w:fill="FFFFFF"/>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За 2017 год, согласно утвержденных программ, проведены работы по снижению и подавлению биоценоза в системе нефтесбора и ППД. Обработано 56 добывающих скважин при периодической подаче бактерицида марки «Реком 6017 А2» в  затрубное пространство. </w:t>
      </w:r>
    </w:p>
    <w:p w:rsidR="00612984" w:rsidRPr="00284E23" w:rsidRDefault="00806E96" w:rsidP="00510B62">
      <w:pPr>
        <w:spacing w:after="0" w:line="240" w:lineRule="auto"/>
        <w:jc w:val="center"/>
        <w:rPr>
          <w:rFonts w:ascii="Times New Roman" w:eastAsia="Times New Roman" w:hAnsi="Times New Roman" w:cs="Times New Roman"/>
          <w:b/>
          <w:sz w:val="24"/>
          <w:szCs w:val="24"/>
        </w:rPr>
      </w:pPr>
      <w:r w:rsidRPr="00284E23">
        <w:rPr>
          <w:rFonts w:ascii="Times New Roman" w:eastAsia="Times New Roman" w:hAnsi="Times New Roman" w:cs="Times New Roman"/>
          <w:b/>
          <w:sz w:val="24"/>
          <w:szCs w:val="24"/>
        </w:rPr>
        <w:lastRenderedPageBreak/>
        <w:t>3.4.  Защита трубопроводов от наружной коррозии.</w:t>
      </w:r>
    </w:p>
    <w:p w:rsidR="00612984" w:rsidRPr="00284E23" w:rsidRDefault="00612984" w:rsidP="00510B62">
      <w:pPr>
        <w:spacing w:after="0" w:line="240" w:lineRule="auto"/>
        <w:jc w:val="center"/>
        <w:rPr>
          <w:rFonts w:ascii="Times New Roman" w:eastAsia="Times New Roman" w:hAnsi="Times New Roman" w:cs="Times New Roman"/>
          <w:sz w:val="24"/>
          <w:szCs w:val="24"/>
        </w:rPr>
      </w:pPr>
    </w:p>
    <w:p w:rsidR="003362C2" w:rsidRDefault="00612984" w:rsidP="00625061">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В НГДУ выполняется большой объем работ по защите трубопроводов от наружной коррозии, а именно строительство протекторной и катодной защиты (ЭХЗ). На 01.01.2018г (Д</w:t>
      </w:r>
      <w:r w:rsidRPr="00284E23">
        <w:rPr>
          <w:rFonts w:ascii="Times New Roman" w:hAnsi="Times New Roman" w:cs="Times New Roman"/>
          <w:b/>
          <w:bCs/>
          <w:sz w:val="24"/>
          <w:szCs w:val="24"/>
        </w:rPr>
        <w:t>иаграмма 3.28.)</w:t>
      </w:r>
      <w:r w:rsidRPr="00284E23">
        <w:rPr>
          <w:rFonts w:ascii="Times New Roman" w:hAnsi="Times New Roman" w:cs="Times New Roman"/>
          <w:sz w:val="24"/>
          <w:szCs w:val="24"/>
        </w:rPr>
        <w:t xml:space="preserve"> протяженность трубопроводов с протекторной защитой  составляет 2708,948 км, из них: по ЦДНГ– 1834,558км, ЦППД – 787,453км, ЦКППН (напорные) - 21,340км, газопроводы – 65,597км.</w:t>
      </w:r>
    </w:p>
    <w:p w:rsidR="00612984" w:rsidRDefault="003362C2" w:rsidP="003362C2">
      <w:pPr>
        <w:spacing w:after="0" w:line="240" w:lineRule="auto"/>
        <w:ind w:firstLine="720"/>
        <w:jc w:val="right"/>
        <w:rPr>
          <w:rFonts w:ascii="Times New Roman" w:hAnsi="Times New Roman" w:cs="Times New Roman"/>
          <w:b/>
          <w:sz w:val="24"/>
          <w:szCs w:val="24"/>
        </w:rPr>
      </w:pPr>
      <w:r>
        <w:rPr>
          <w:rFonts w:ascii="Times New Roman" w:hAnsi="Times New Roman" w:cs="Times New Roman"/>
          <w:b/>
          <w:sz w:val="24"/>
          <w:szCs w:val="24"/>
        </w:rPr>
        <w:t>Диаграмма 3.23</w:t>
      </w:r>
      <w:r w:rsidR="00612984" w:rsidRPr="00284E23">
        <w:rPr>
          <w:rFonts w:ascii="Times New Roman" w:hAnsi="Times New Roman" w:cs="Times New Roman"/>
          <w:b/>
          <w:sz w:val="24"/>
          <w:szCs w:val="24"/>
        </w:rPr>
        <w:t>.</w:t>
      </w:r>
    </w:p>
    <w:p w:rsidR="004A2B9B" w:rsidRPr="00284E23" w:rsidRDefault="004A2B9B" w:rsidP="003362C2">
      <w:pPr>
        <w:spacing w:after="0" w:line="240" w:lineRule="auto"/>
        <w:ind w:firstLine="720"/>
        <w:jc w:val="right"/>
        <w:rPr>
          <w:rFonts w:ascii="Times New Roman" w:hAnsi="Times New Roman" w:cs="Times New Roman"/>
          <w:sz w:val="24"/>
          <w:szCs w:val="24"/>
        </w:rPr>
      </w:pPr>
    </w:p>
    <w:p w:rsidR="00612984" w:rsidRPr="00284E23" w:rsidRDefault="00612984" w:rsidP="00510B62">
      <w:pPr>
        <w:spacing w:after="0" w:line="240" w:lineRule="auto"/>
        <w:jc w:val="center"/>
        <w:rPr>
          <w:rFonts w:ascii="Times New Roman" w:hAnsi="Times New Roman" w:cs="Times New Roman"/>
          <w:sz w:val="24"/>
          <w:szCs w:val="24"/>
        </w:rPr>
      </w:pPr>
      <w:r w:rsidRPr="00284E23">
        <w:rPr>
          <w:rFonts w:ascii="Times New Roman" w:hAnsi="Times New Roman" w:cs="Times New Roman"/>
          <w:noProof/>
          <w:sz w:val="24"/>
          <w:szCs w:val="24"/>
        </w:rPr>
        <w:drawing>
          <wp:inline distT="0" distB="0" distL="0" distR="0">
            <wp:extent cx="5781675" cy="3371850"/>
            <wp:effectExtent l="0" t="0" r="0" b="0"/>
            <wp:docPr id="13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612984" w:rsidRPr="00284E23" w:rsidRDefault="00612984" w:rsidP="00510B62">
      <w:pPr>
        <w:spacing w:after="0" w:line="240" w:lineRule="auto"/>
        <w:ind w:firstLine="720"/>
        <w:jc w:val="both"/>
        <w:rPr>
          <w:rFonts w:ascii="Times New Roman" w:hAnsi="Times New Roman" w:cs="Times New Roman"/>
          <w:sz w:val="24"/>
          <w:szCs w:val="24"/>
        </w:rPr>
      </w:pPr>
    </w:p>
    <w:p w:rsidR="00612984" w:rsidRPr="00284E23" w:rsidRDefault="00612984" w:rsidP="003362C2">
      <w:pPr>
        <w:spacing w:after="0" w:line="240" w:lineRule="auto"/>
        <w:ind w:firstLine="720"/>
        <w:jc w:val="both"/>
        <w:rPr>
          <w:rFonts w:ascii="Times New Roman" w:hAnsi="Times New Roman" w:cs="Times New Roman"/>
          <w:sz w:val="24"/>
          <w:szCs w:val="24"/>
        </w:rPr>
      </w:pPr>
      <w:r w:rsidRPr="00284E23">
        <w:rPr>
          <w:rFonts w:ascii="Times New Roman" w:hAnsi="Times New Roman" w:cs="Times New Roman"/>
          <w:sz w:val="24"/>
          <w:szCs w:val="24"/>
        </w:rPr>
        <w:t xml:space="preserve">В 2016 году протяженность трубопроводов, охваченных протекторной защитой уменьшилась на 157,834 км.  Обустроили протекторной защитой 42,858 км вновь построенных трубопроводов, но при этом перевели под катодную защиту 197,544 км  трубопроводов с протекторной защитой. Защищенность трубопроводов, построенных с 1998 года, средствами электрохимзащиты составляет по нефтесбору – 100%, по системе ППД – 85,6% </w:t>
      </w:r>
    </w:p>
    <w:p w:rsidR="00612984" w:rsidRPr="00284E23" w:rsidRDefault="00612984" w:rsidP="003362C2">
      <w:pPr>
        <w:spacing w:after="0" w:line="240" w:lineRule="auto"/>
        <w:ind w:firstLine="540"/>
        <w:jc w:val="both"/>
        <w:rPr>
          <w:rFonts w:ascii="Times New Roman" w:hAnsi="Times New Roman" w:cs="Times New Roman"/>
          <w:noProof/>
          <w:sz w:val="24"/>
          <w:szCs w:val="24"/>
        </w:rPr>
      </w:pPr>
      <w:r w:rsidRPr="00284E23">
        <w:rPr>
          <w:rFonts w:ascii="Times New Roman" w:hAnsi="Times New Roman" w:cs="Times New Roman"/>
          <w:sz w:val="24"/>
          <w:szCs w:val="24"/>
        </w:rPr>
        <w:t>На 01.01.18г  эксплуатируются 1105 СКЗ, которые защищают обсадные колонны 1827 скважин и 830,578 км выкидных трубопроводов</w:t>
      </w:r>
      <w:r w:rsidR="003362C2">
        <w:rPr>
          <w:rFonts w:ascii="Times New Roman" w:hAnsi="Times New Roman" w:cs="Times New Roman"/>
          <w:sz w:val="24"/>
          <w:szCs w:val="24"/>
        </w:rPr>
        <w:t>.</w:t>
      </w:r>
    </w:p>
    <w:p w:rsidR="00612984" w:rsidRPr="00284E23" w:rsidRDefault="00612984" w:rsidP="00510B62">
      <w:pPr>
        <w:spacing w:after="0" w:line="240" w:lineRule="auto"/>
        <w:ind w:firstLine="709"/>
        <w:jc w:val="both"/>
        <w:rPr>
          <w:rFonts w:ascii="Times New Roman" w:hAnsi="Times New Roman" w:cs="Times New Roman"/>
          <w:noProof/>
          <w:sz w:val="24"/>
          <w:szCs w:val="24"/>
        </w:rPr>
      </w:pPr>
      <w:r w:rsidRPr="00284E23">
        <w:rPr>
          <w:rFonts w:ascii="Times New Roman" w:hAnsi="Times New Roman" w:cs="Times New Roman"/>
          <w:noProof/>
          <w:sz w:val="24"/>
          <w:szCs w:val="24"/>
        </w:rPr>
        <w:t>Согласно протокола производственного совещания по рассмотрению целесообразности применения катодной защиты обсадных колонн скважин №3860/157-28 от 29.07.2016г временно принято решение об отмене внедрения катодной защиты скважин и трубопроводов с 01.08.2016г.  На объектах капитального строительства и капитального ремонта выполняется протекторная защита трубопровода.</w:t>
      </w:r>
    </w:p>
    <w:p w:rsidR="00806E96" w:rsidRPr="00284E23" w:rsidRDefault="00806E96" w:rsidP="00510B62">
      <w:pPr>
        <w:spacing w:after="0" w:line="240" w:lineRule="auto"/>
        <w:rPr>
          <w:rFonts w:ascii="Times New Roman" w:hAnsi="Times New Roman" w:cs="Times New Roman"/>
          <w:sz w:val="24"/>
          <w:szCs w:val="24"/>
        </w:rPr>
      </w:pPr>
    </w:p>
    <w:p w:rsidR="007D712B" w:rsidRPr="00284E23" w:rsidRDefault="007D712B" w:rsidP="00510B62">
      <w:pPr>
        <w:pStyle w:val="a7"/>
        <w:spacing w:before="0" w:beforeAutospacing="0" w:after="0" w:afterAutospacing="0"/>
        <w:jc w:val="center"/>
        <w:rPr>
          <w:b/>
          <w:bCs/>
        </w:rPr>
      </w:pPr>
      <w:r w:rsidRPr="00284E23">
        <w:rPr>
          <w:b/>
          <w:bCs/>
        </w:rPr>
        <w:t>Мероприятия по охране природных комплексов</w:t>
      </w:r>
    </w:p>
    <w:p w:rsidR="00465D6D" w:rsidRPr="00284E23" w:rsidRDefault="00465D6D" w:rsidP="00510B62">
      <w:pPr>
        <w:pStyle w:val="a7"/>
        <w:spacing w:before="0" w:beforeAutospacing="0" w:after="0" w:afterAutospacing="0"/>
        <w:jc w:val="center"/>
        <w:rPr>
          <w:b/>
          <w:bCs/>
        </w:rPr>
      </w:pPr>
    </w:p>
    <w:p w:rsidR="007D712B" w:rsidRPr="00284E23" w:rsidRDefault="007D712B" w:rsidP="00510B62">
      <w:pPr>
        <w:pStyle w:val="a7"/>
        <w:tabs>
          <w:tab w:val="left" w:pos="0"/>
        </w:tabs>
        <w:spacing w:before="0" w:beforeAutospacing="0" w:after="0" w:afterAutospacing="0"/>
        <w:ind w:firstLine="567"/>
        <w:jc w:val="both"/>
      </w:pPr>
      <w:r w:rsidRPr="00284E23">
        <w:t xml:space="preserve">Мероприятия по охране окружающей среды при разработке нефтяных месторождений должны быть направлены на предотвращение загрязнения земли, поверхностных и подземных вод, воздушного бассейна нефтепродуктами (жидкими и газообразными), промысловыми и сточными водами, химреагентами, а также на рациональное использование земель и пресных вод.     </w:t>
      </w:r>
    </w:p>
    <w:p w:rsidR="007D712B" w:rsidRPr="00284E23" w:rsidRDefault="007D712B" w:rsidP="00510B62">
      <w:pPr>
        <w:pStyle w:val="a7"/>
        <w:tabs>
          <w:tab w:val="left" w:pos="0"/>
        </w:tabs>
        <w:spacing w:before="0" w:beforeAutospacing="0" w:after="0" w:afterAutospacing="0"/>
        <w:ind w:firstLine="567"/>
        <w:jc w:val="both"/>
      </w:pPr>
      <w:r w:rsidRPr="00284E23">
        <w:lastRenderedPageBreak/>
        <w:t>Уже при бурении скважин задумываются об охране недр, при спуске трубы (направление) перекрываются неустойчивые четвертичные и верхнепермские отложения.</w:t>
      </w:r>
    </w:p>
    <w:p w:rsidR="007D712B" w:rsidRPr="00284E23" w:rsidRDefault="007D712B" w:rsidP="00510B62">
      <w:pPr>
        <w:pStyle w:val="a7"/>
        <w:tabs>
          <w:tab w:val="left" w:pos="0"/>
        </w:tabs>
        <w:spacing w:before="0" w:beforeAutospacing="0" w:after="0" w:afterAutospacing="0"/>
        <w:ind w:firstLine="567"/>
        <w:jc w:val="both"/>
      </w:pPr>
      <w:r w:rsidRPr="00284E23">
        <w:t>Кондуктором перекрываются неустойчивые пермские отложения, а также пласты, содержащие пресные воды, с целью предотвращения их истощения и засолонения. Кондуктор спускается на 30-</w:t>
      </w:r>
      <w:smartTag w:uri="urn:schemas-microsoft-com:office:smarttags" w:element="metricconverter">
        <w:smartTagPr>
          <w:attr w:name="ProductID" w:val="50 метров"/>
        </w:smartTagPr>
        <w:r w:rsidRPr="00284E23">
          <w:t>50 метров</w:t>
        </w:r>
      </w:smartTag>
      <w:r w:rsidRPr="00284E23">
        <w:t xml:space="preserve"> ниже кровли артинского (где расположены артезианские воды) горизонта.</w:t>
      </w:r>
    </w:p>
    <w:p w:rsidR="007D712B" w:rsidRPr="00284E23" w:rsidRDefault="007D712B" w:rsidP="00510B62">
      <w:pPr>
        <w:pStyle w:val="a7"/>
        <w:tabs>
          <w:tab w:val="left" w:pos="0"/>
        </w:tabs>
        <w:spacing w:before="0" w:beforeAutospacing="0" w:after="0" w:afterAutospacing="0"/>
        <w:ind w:firstLine="567"/>
        <w:jc w:val="both"/>
      </w:pPr>
      <w:r w:rsidRPr="00284E23">
        <w:t>Для строительства скважин, находящихся в санитарно-защитных зонах, на участках развития карстовых образований, битумных залежей и других, предусматривается конструкция скважины с включением промежуточного кондуктора.</w:t>
      </w:r>
    </w:p>
    <w:p w:rsidR="007D712B" w:rsidRPr="00284E23" w:rsidRDefault="007D712B" w:rsidP="00510B62">
      <w:pPr>
        <w:pStyle w:val="a7"/>
        <w:tabs>
          <w:tab w:val="left" w:pos="0"/>
        </w:tabs>
        <w:spacing w:before="0" w:beforeAutospacing="0" w:after="0" w:afterAutospacing="0"/>
        <w:ind w:firstLine="567"/>
        <w:jc w:val="both"/>
      </w:pPr>
      <w:r w:rsidRPr="00284E23">
        <w:t>Для перекрытия прогнозируемых потенциальных зон катастрофических осложнений допускается увеличение глубины спуска направления, кондуктора.</w:t>
      </w:r>
    </w:p>
    <w:p w:rsidR="007D712B" w:rsidRPr="00284E23" w:rsidRDefault="007D712B" w:rsidP="00510B62">
      <w:pPr>
        <w:pStyle w:val="a7"/>
        <w:tabs>
          <w:tab w:val="left" w:pos="0"/>
        </w:tabs>
        <w:spacing w:before="0" w:beforeAutospacing="0" w:after="0" w:afterAutospacing="0"/>
        <w:ind w:firstLine="567"/>
        <w:jc w:val="both"/>
      </w:pPr>
      <w:r w:rsidRPr="00284E23">
        <w:t>Направление, промежуточный кондуктор, кондуктор, эксплуатационная колонна цементируется на всю длину до устья скважины.</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Также мероприятия  включают в себя:</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Обработку ингибиторами коррозию и полную утилизацию промысловой сточной воды в результате ее закачки в продуктивные или поглощающие пласты.</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При необходимости, обработку закачиваемой в продуктивные пласты воды антисептиками с целью предотвращения ее заражения сульфатвосстанавливающими бактериями, приводящими к образованию сероводорода в нефти и воде.</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Использование герметизированной системы сбора, промыслового транспорта и подготовки продукции скважины.</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Полную утилизацию нефтяного газа, использование замкнутых систем газоснабжения при газлифтной эксплуатации скважин.</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Быструю ликвидацию аварийных разливов нефти, строительство нефтеловушек на реках, в местах ливневых стоков.</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Создание сети контрольных пунктов для наблюдения за составами поверхностных и  подземных вод.</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Исключение при нормальном ведении технологического процесса попадания на землю, в поверхностные и подземные воды питьевого водоснабжения ПАВ, кислот, щелочей, полимерных растворов и других химических реагентов, используемых как при нефтеотдаче, так и для других целей.</w:t>
      </w:r>
    </w:p>
    <w:p w:rsidR="007D712B" w:rsidRPr="00284E23" w:rsidRDefault="007D712B" w:rsidP="00510B62">
      <w:pPr>
        <w:tabs>
          <w:tab w:val="left" w:pos="0"/>
          <w:tab w:val="center" w:pos="4677"/>
        </w:tabs>
        <w:spacing w:after="0" w:line="240" w:lineRule="auto"/>
        <w:ind w:firstLine="567"/>
        <w:jc w:val="both"/>
        <w:rPr>
          <w:rFonts w:ascii="Times New Roman" w:hAnsi="Times New Roman" w:cs="Times New Roman"/>
          <w:sz w:val="24"/>
          <w:szCs w:val="24"/>
        </w:rPr>
      </w:pPr>
      <w:r w:rsidRPr="00284E23">
        <w:rPr>
          <w:rFonts w:ascii="Times New Roman" w:hAnsi="Times New Roman" w:cs="Times New Roman"/>
          <w:sz w:val="24"/>
          <w:szCs w:val="24"/>
        </w:rPr>
        <w:tab/>
        <w:t>Применение антикоррозийных покрытий, ингибиторов для борьбы с солеотложениями и коррозией нефтепромыслового оборудования.</w:t>
      </w:r>
      <w:r w:rsidRPr="00284E23">
        <w:rPr>
          <w:rFonts w:ascii="Times New Roman" w:hAnsi="Times New Roman" w:cs="Times New Roman"/>
          <w:sz w:val="24"/>
          <w:szCs w:val="24"/>
        </w:rPr>
        <w:tab/>
      </w:r>
      <w:r w:rsidRPr="00284E23">
        <w:rPr>
          <w:rFonts w:ascii="Times New Roman" w:hAnsi="Times New Roman" w:cs="Times New Roman"/>
          <w:sz w:val="24"/>
          <w:szCs w:val="24"/>
        </w:rPr>
        <w:br/>
        <w:t xml:space="preserve">        Охрана природы одно из основных мер деятельности предприятия. В связи с этим для осуществления природоохранных работ разработаны экологические программы. Ведётся систематический контроль над чистотой поверхностных и подземных вод, ведутся целые исследования по выявлению источников их загрязнения. Осуществляется ежедневный отбор проб воды с водоёмов и речек, расположенных на территории деятельности предприятии, и проверяется на содержание хлоридов. Для предотвращения попадания нефтепродуктов в водоемы функционируют 105 нефтеулавливающих сооружений. Осуществляются работы по повышению герметичности и надежности нефтепромысловых сооружений – это строительство и замена трубопроводов. В результате чего содержание хлоридов в реках находится в пределах допустимой нормы.</w:t>
      </w:r>
    </w:p>
    <w:p w:rsidR="007D712B" w:rsidRPr="00284E23" w:rsidRDefault="007D712B" w:rsidP="00510B62">
      <w:pPr>
        <w:spacing w:after="0" w:line="240" w:lineRule="auto"/>
        <w:ind w:firstLine="851"/>
        <w:jc w:val="both"/>
        <w:rPr>
          <w:rFonts w:ascii="Times New Roman" w:hAnsi="Times New Roman" w:cs="Times New Roman"/>
          <w:sz w:val="24"/>
          <w:szCs w:val="24"/>
        </w:rPr>
      </w:pPr>
      <w:r w:rsidRPr="00284E23">
        <w:rPr>
          <w:rFonts w:ascii="Times New Roman" w:hAnsi="Times New Roman" w:cs="Times New Roman"/>
          <w:sz w:val="24"/>
          <w:szCs w:val="24"/>
        </w:rPr>
        <w:t xml:space="preserve"> Также стабильное снижение загрязненности рек и подземных вод, почвы, которое обеспечило снижение коррозии  нефтепромыслового оборудования,  за счет увеличения точек подачи ингибиторов  коррозии.</w:t>
      </w:r>
    </w:p>
    <w:p w:rsidR="00510B62" w:rsidRPr="00284E23" w:rsidRDefault="00510B62" w:rsidP="00510B62">
      <w:pPr>
        <w:spacing w:after="0" w:line="240" w:lineRule="auto"/>
        <w:ind w:firstLine="851"/>
        <w:jc w:val="both"/>
        <w:rPr>
          <w:rFonts w:ascii="Times New Roman" w:eastAsia="Calibri" w:hAnsi="Times New Roman" w:cs="Times New Roman"/>
          <w:b/>
          <w:sz w:val="24"/>
          <w:szCs w:val="24"/>
          <w:lang w:eastAsia="en-US"/>
        </w:rPr>
      </w:pPr>
    </w:p>
    <w:p w:rsidR="00A33018" w:rsidRDefault="00A33018" w:rsidP="00510B62">
      <w:pPr>
        <w:spacing w:after="0" w:line="240" w:lineRule="auto"/>
        <w:ind w:firstLine="851"/>
        <w:jc w:val="center"/>
        <w:rPr>
          <w:rFonts w:ascii="Times New Roman" w:eastAsia="Calibri" w:hAnsi="Times New Roman" w:cs="Times New Roman"/>
          <w:b/>
          <w:sz w:val="24"/>
          <w:szCs w:val="24"/>
          <w:lang w:eastAsia="en-US"/>
        </w:rPr>
      </w:pPr>
    </w:p>
    <w:p w:rsidR="00A33018" w:rsidRDefault="00A33018" w:rsidP="00510B62">
      <w:pPr>
        <w:spacing w:after="0" w:line="240" w:lineRule="auto"/>
        <w:ind w:firstLine="851"/>
        <w:jc w:val="center"/>
        <w:rPr>
          <w:rFonts w:ascii="Times New Roman" w:eastAsia="Calibri" w:hAnsi="Times New Roman" w:cs="Times New Roman"/>
          <w:b/>
          <w:sz w:val="24"/>
          <w:szCs w:val="24"/>
          <w:lang w:eastAsia="en-US"/>
        </w:rPr>
      </w:pPr>
    </w:p>
    <w:p w:rsidR="00A33018" w:rsidRDefault="00A33018" w:rsidP="00510B62">
      <w:pPr>
        <w:spacing w:after="0" w:line="240" w:lineRule="auto"/>
        <w:ind w:firstLine="851"/>
        <w:jc w:val="center"/>
        <w:rPr>
          <w:rFonts w:ascii="Times New Roman" w:eastAsia="Calibri" w:hAnsi="Times New Roman" w:cs="Times New Roman"/>
          <w:b/>
          <w:sz w:val="24"/>
          <w:szCs w:val="24"/>
          <w:lang w:eastAsia="en-US"/>
        </w:rPr>
      </w:pPr>
    </w:p>
    <w:p w:rsidR="007D712B" w:rsidRPr="00284E23" w:rsidRDefault="007D712B" w:rsidP="00510B62">
      <w:pPr>
        <w:spacing w:after="0" w:line="240" w:lineRule="auto"/>
        <w:ind w:firstLine="851"/>
        <w:jc w:val="center"/>
        <w:rPr>
          <w:rFonts w:ascii="Times New Roman" w:eastAsia="Calibri" w:hAnsi="Times New Roman" w:cs="Times New Roman"/>
          <w:b/>
          <w:sz w:val="24"/>
          <w:szCs w:val="24"/>
          <w:lang w:eastAsia="en-US"/>
        </w:rPr>
      </w:pPr>
      <w:r w:rsidRPr="00284E23">
        <w:rPr>
          <w:rFonts w:ascii="Times New Roman" w:eastAsia="Calibri" w:hAnsi="Times New Roman" w:cs="Times New Roman"/>
          <w:b/>
          <w:sz w:val="24"/>
          <w:szCs w:val="24"/>
          <w:lang w:eastAsia="en-US"/>
        </w:rPr>
        <w:lastRenderedPageBreak/>
        <w:t>Краткие выводы</w:t>
      </w:r>
    </w:p>
    <w:p w:rsidR="00CA5C41" w:rsidRPr="00284E23" w:rsidRDefault="00CA5C41" w:rsidP="00510B62">
      <w:pPr>
        <w:spacing w:after="0" w:line="240" w:lineRule="auto"/>
        <w:jc w:val="both"/>
        <w:rPr>
          <w:rFonts w:ascii="Times New Roman" w:hAnsi="Times New Roman" w:cs="Times New Roman"/>
          <w:sz w:val="24"/>
          <w:szCs w:val="24"/>
        </w:rPr>
      </w:pP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b/>
          <w:bCs/>
          <w:i/>
          <w:iCs/>
          <w:sz w:val="24"/>
          <w:szCs w:val="24"/>
        </w:rPr>
        <w:t>Способы защиты металлов от коррозии.</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1. Применение защитных покрытий.</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а) Металлические изделия покрывают лаками, красками, эмалями, стекло кристаллические покрытия.</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б) металлические изделия покрывают другие металлами. В качестве металлов для покрытия применяют металлы, образующие на своей поверхности защитные пленки. К таким металлам относятся хром, никель цинк, олово и другие.</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2. Приготовление сплавов стойких к коррозии части машин, инструменты и предметы быта изготовляют из нержавеющей стали и других сплавов, стойких к коррозии. В сплав вводят хром, никель, кремлей, кобальт, алюминий.</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3. Электрохимические методы защиты.</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а) применение заклепок изготовленных из более активных металлов.</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б) Прикрепление пластинок из более активного металла для защиты основного металлического изделия. Например в паре Zn-Fe (оцинкованное железо)защищено железо, в паре Sn-Cu защищена медь и т. д.</w:t>
      </w:r>
    </w:p>
    <w:p w:rsidR="00CA5C41" w:rsidRPr="009637B7" w:rsidRDefault="000D2BBC"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xml:space="preserve">      </w:t>
      </w:r>
      <w:r w:rsidR="00CA5C41" w:rsidRPr="009637B7">
        <w:rPr>
          <w:rFonts w:ascii="Times New Roman" w:eastAsia="Times New Roman" w:hAnsi="Times New Roman" w:cs="Times New Roman"/>
          <w:sz w:val="24"/>
          <w:szCs w:val="24"/>
        </w:rPr>
        <w:t>К днищам кораблей прикрепляют протекторы -слитки более активного металла, чем обшивка днища корабля-это протекторная защита с помощью цинка (анодная защита) Катодная защита - защита менее активным металлом (лужёное железо)Особые требования - не допускать разрушении целостности покрытия.</w:t>
      </w:r>
    </w:p>
    <w:p w:rsidR="00CA5C41" w:rsidRPr="009637B7"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4. Нейтрализация тока, возникающего при коррозии, постоянным током, пропускаемым в противоположным направлении. Так обычно защищают трубы нефтепровода, газопровода. Ни в коем случае нельзя перепутать полюсы тока, ошибки должны быть исключены.</w:t>
      </w:r>
    </w:p>
    <w:p w:rsidR="00CA5C41" w:rsidRDefault="00CA5C41" w:rsidP="00510B62">
      <w:pPr>
        <w:shd w:val="clear" w:color="auto" w:fill="FFFFFF"/>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5. Добавление ингибиторов. Использование замедлителей коррозии (органические, неорганические вещества)</w:t>
      </w:r>
    </w:p>
    <w:p w:rsidR="009637B7" w:rsidRPr="009637B7" w:rsidRDefault="009637B7" w:rsidP="00510B62">
      <w:pPr>
        <w:shd w:val="clear" w:color="auto" w:fill="FFFFFF"/>
        <w:spacing w:after="0" w:line="240" w:lineRule="auto"/>
        <w:jc w:val="both"/>
        <w:rPr>
          <w:rFonts w:ascii="Times New Roman" w:eastAsia="Times New Roman" w:hAnsi="Times New Roman" w:cs="Times New Roman"/>
          <w:sz w:val="24"/>
          <w:szCs w:val="24"/>
        </w:rPr>
      </w:pPr>
    </w:p>
    <w:p w:rsidR="000D2BBC" w:rsidRPr="009637B7" w:rsidRDefault="000D2BBC" w:rsidP="000D2BBC">
      <w:pPr>
        <w:shd w:val="clear" w:color="auto" w:fill="FFFFFF"/>
        <w:spacing w:after="0" w:line="240" w:lineRule="auto"/>
        <w:jc w:val="both"/>
        <w:rPr>
          <w:rFonts w:ascii="Times New Roman" w:eastAsia="Times New Roman" w:hAnsi="Times New Roman" w:cs="Times New Roman"/>
          <w:b/>
          <w:sz w:val="24"/>
          <w:szCs w:val="24"/>
        </w:rPr>
      </w:pPr>
      <w:r w:rsidRPr="009637B7">
        <w:rPr>
          <w:rFonts w:ascii="Times New Roman" w:eastAsia="Times New Roman" w:hAnsi="Times New Roman" w:cs="Times New Roman"/>
          <w:sz w:val="24"/>
          <w:szCs w:val="24"/>
        </w:rPr>
        <w:t xml:space="preserve">         </w:t>
      </w:r>
      <w:r w:rsidRPr="009637B7">
        <w:rPr>
          <w:rFonts w:ascii="Times New Roman" w:eastAsia="Times New Roman" w:hAnsi="Times New Roman" w:cs="Times New Roman"/>
          <w:b/>
          <w:sz w:val="24"/>
          <w:szCs w:val="24"/>
        </w:rPr>
        <w:t xml:space="preserve">          </w:t>
      </w:r>
      <w:r w:rsidRPr="009637B7">
        <w:rPr>
          <w:rFonts w:ascii="Times New Roman" w:eastAsia="Times New Roman" w:hAnsi="Times New Roman" w:cs="Times New Roman"/>
          <w:sz w:val="24"/>
          <w:szCs w:val="24"/>
        </w:rPr>
        <w:t>В ПАО "Татнефть"  создана целая индустрия по комплексному решению проблемы надежности скважин и подземных нефтепромысловых коммуникаций. Она включает:</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входной контроль труб, поступающих от производителей;</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подготовку труб к покрытию (подготовка концов, очистка поверхностей);</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технику и технологию соединения труб в плеть (длиной около 30 м) и в трубопровод;</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нанесение внутренней и внешней изоляции;</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защиту сварных стыков;</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контроль за качеством строительства и эксплуатации трубопроводов;</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производство материалов и нестандартного оборудования.</w:t>
      </w:r>
    </w:p>
    <w:p w:rsidR="000D2BBC" w:rsidRPr="009637B7" w:rsidRDefault="009637B7" w:rsidP="000D2B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2BBC" w:rsidRPr="009637B7">
        <w:rPr>
          <w:rFonts w:ascii="Times New Roman" w:eastAsia="Times New Roman" w:hAnsi="Times New Roman" w:cs="Times New Roman"/>
          <w:sz w:val="24"/>
          <w:szCs w:val="24"/>
        </w:rPr>
        <w:t>Практика эксплуатации трубопроводов с внутренними защитными покрытиями показала, что для полного снижения отказов должны быть решены три основные проблемы:</w:t>
      </w:r>
    </w:p>
    <w:p w:rsidR="000D2BBC" w:rsidRPr="009637B7" w:rsidRDefault="009637B7"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w:t>
      </w:r>
      <w:r w:rsidR="000D2BBC" w:rsidRPr="009637B7">
        <w:rPr>
          <w:rFonts w:ascii="Times New Roman" w:eastAsia="Times New Roman" w:hAnsi="Times New Roman" w:cs="Times New Roman"/>
          <w:sz w:val="24"/>
          <w:szCs w:val="24"/>
        </w:rPr>
        <w:t>надежное внутреннее покрытие;</w:t>
      </w:r>
    </w:p>
    <w:p w:rsidR="000D2BBC" w:rsidRPr="009637B7" w:rsidRDefault="009637B7"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w:t>
      </w:r>
      <w:r w:rsidR="000D2BBC" w:rsidRPr="009637B7">
        <w:rPr>
          <w:rFonts w:ascii="Times New Roman" w:eastAsia="Times New Roman" w:hAnsi="Times New Roman" w:cs="Times New Roman"/>
          <w:sz w:val="24"/>
          <w:szCs w:val="24"/>
        </w:rPr>
        <w:t> надежная внешняя изоляция;</w:t>
      </w:r>
    </w:p>
    <w:p w:rsidR="000D2BBC" w:rsidRPr="009637B7" w:rsidRDefault="009637B7"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w:t>
      </w:r>
      <w:r w:rsidR="000D2BBC" w:rsidRPr="009637B7">
        <w:rPr>
          <w:rFonts w:ascii="Times New Roman" w:eastAsia="Times New Roman" w:hAnsi="Times New Roman" w:cs="Times New Roman"/>
          <w:sz w:val="24"/>
          <w:szCs w:val="24"/>
        </w:rPr>
        <w:t>защита сварных стыков с обеих сторон.</w:t>
      </w:r>
    </w:p>
    <w:p w:rsidR="000D2BBC" w:rsidRPr="009637B7" w:rsidRDefault="009637B7"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xml:space="preserve">         </w:t>
      </w:r>
      <w:r w:rsidR="000D2BBC" w:rsidRPr="009637B7">
        <w:rPr>
          <w:rFonts w:ascii="Times New Roman" w:eastAsia="Times New Roman" w:hAnsi="Times New Roman" w:cs="Times New Roman"/>
          <w:sz w:val="24"/>
          <w:szCs w:val="24"/>
        </w:rPr>
        <w:t>Для предотвращения внутренней коррозии нефтесборных трубопроводов в  выбраны следующие направления:</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для перекачки беспарафинистых серосодержащих нефтей используются МПТ, коррозионно-стойкие гибкие трубки производства КВАРТ (г.Казань);</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для парафинистых нефтей применяются трубы со специальным защитным покрытием, выдерживающем темпер</w:t>
      </w:r>
      <w:r w:rsidR="009637B7">
        <w:rPr>
          <w:rFonts w:ascii="Times New Roman" w:eastAsia="Times New Roman" w:hAnsi="Times New Roman" w:cs="Times New Roman"/>
          <w:sz w:val="24"/>
          <w:szCs w:val="24"/>
        </w:rPr>
        <w:t>атуру эксплуатации до 150°</w:t>
      </w:r>
      <w:r w:rsidRPr="009637B7">
        <w:rPr>
          <w:rFonts w:ascii="Times New Roman" w:eastAsia="Times New Roman" w:hAnsi="Times New Roman" w:cs="Times New Roman"/>
          <w:sz w:val="24"/>
          <w:szCs w:val="24"/>
        </w:rPr>
        <w:t>С.</w:t>
      </w:r>
    </w:p>
    <w:p w:rsidR="000D2BBC" w:rsidRPr="009637B7" w:rsidRDefault="007120D6" w:rsidP="000D2B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D2BBC" w:rsidRPr="009637B7">
        <w:rPr>
          <w:rFonts w:ascii="Times New Roman" w:eastAsia="Times New Roman" w:hAnsi="Times New Roman" w:cs="Times New Roman"/>
          <w:sz w:val="24"/>
          <w:szCs w:val="24"/>
        </w:rPr>
        <w:t>Наличие производства полиэтиленовых труб позволило выполнить работы по восстановлению бездействующих трубопроводов. Было восстановлено 460 км труб диаметром 89-530 мм методом протаскивания полиэтиленовых труб вовнутрь стальной (с цементированием или без цементирования межтрубного пространства). Эти операции эффективны для быстрого восстановления работоспособности трубопроводов в критических ситуациях, так как за один прием может быть восстановлен участок длиной до 600 м. Это важно при переходах через водные преграды, болота, полотна дорог по бестраншейной технологии.</w:t>
      </w:r>
    </w:p>
    <w:p w:rsidR="000D2BBC" w:rsidRPr="009637B7" w:rsidRDefault="007120D6" w:rsidP="000D2B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2BBC" w:rsidRPr="009637B7">
        <w:rPr>
          <w:rFonts w:ascii="Times New Roman" w:eastAsia="Times New Roman" w:hAnsi="Times New Roman" w:cs="Times New Roman"/>
          <w:sz w:val="24"/>
          <w:szCs w:val="24"/>
        </w:rPr>
        <w:t>С 1988г. стеклопластиковые трубы безотказно работают в качестве НКТ, диаметр 89 мм. Положительные результаты получены по системе нефтесбора: диаметр 159 мм и давление 2,8 МПа. Отрицательные результаты получены при испытании стеклопластиковых труб в системе ППД в качестве разводящего водовода (давление 12,5 МПа): не выдержали давления клеевые соединения, повороты (колена).</w:t>
      </w:r>
    </w:p>
    <w:p w:rsidR="000D2BBC" w:rsidRPr="009637B7" w:rsidRDefault="007120D6" w:rsidP="000D2B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D2BBC" w:rsidRPr="009637B7">
        <w:rPr>
          <w:rFonts w:ascii="Times New Roman" w:eastAsia="Times New Roman" w:hAnsi="Times New Roman" w:cs="Times New Roman"/>
          <w:sz w:val="24"/>
          <w:szCs w:val="24"/>
        </w:rPr>
        <w:t>Таким образом, многолетний опыт производства и применения труб с защитными покрытиями позволил ОАО "Татнефть" практически решить проблему надежности нефтепромысловых коммуникаций и сэкономить более 6600 млн. кВт.ч электроэнергии (за счет уменьшения гидравлических потерь) при эксплуатации металлопластмассовых труб.</w:t>
      </w:r>
    </w:p>
    <w:p w:rsidR="000D2BBC" w:rsidRPr="009637B7" w:rsidRDefault="000D2BBC" w:rsidP="000D2BBC">
      <w:pPr>
        <w:spacing w:after="0" w:line="240" w:lineRule="auto"/>
        <w:jc w:val="both"/>
        <w:rPr>
          <w:rFonts w:ascii="Times New Roman" w:eastAsia="Times New Roman" w:hAnsi="Times New Roman" w:cs="Times New Roman"/>
          <w:sz w:val="24"/>
          <w:szCs w:val="24"/>
        </w:rPr>
      </w:pPr>
      <w:r w:rsidRPr="009637B7">
        <w:rPr>
          <w:rFonts w:ascii="Times New Roman" w:eastAsia="Times New Roman" w:hAnsi="Times New Roman" w:cs="Times New Roman"/>
          <w:sz w:val="24"/>
          <w:szCs w:val="24"/>
        </w:rPr>
        <w:t xml:space="preserve">        Весь комплекс работ </w:t>
      </w:r>
      <w:r w:rsidR="007120D6">
        <w:rPr>
          <w:rFonts w:ascii="Times New Roman" w:eastAsia="Times New Roman" w:hAnsi="Times New Roman" w:cs="Times New Roman"/>
          <w:sz w:val="24"/>
          <w:szCs w:val="24"/>
        </w:rPr>
        <w:t xml:space="preserve">ПАО "Татнефть" </w:t>
      </w:r>
      <w:r w:rsidRPr="009637B7">
        <w:rPr>
          <w:rFonts w:ascii="Times New Roman" w:eastAsia="Times New Roman" w:hAnsi="Times New Roman" w:cs="Times New Roman"/>
          <w:sz w:val="24"/>
          <w:szCs w:val="24"/>
        </w:rPr>
        <w:t>отвечает мировым стандартам.</w:t>
      </w:r>
    </w:p>
    <w:p w:rsidR="009637B7" w:rsidRPr="009637B7" w:rsidRDefault="009637B7" w:rsidP="00510B62">
      <w:pPr>
        <w:pStyle w:val="a7"/>
        <w:spacing w:before="0" w:beforeAutospacing="0" w:after="0" w:afterAutospacing="0"/>
        <w:jc w:val="both"/>
      </w:pPr>
    </w:p>
    <w:p w:rsidR="007D712B" w:rsidRPr="009637B7" w:rsidRDefault="007D712B" w:rsidP="00510B62">
      <w:pPr>
        <w:pStyle w:val="a7"/>
        <w:spacing w:before="0" w:beforeAutospacing="0" w:after="0" w:afterAutospacing="0"/>
        <w:jc w:val="both"/>
        <w:rPr>
          <w:b/>
        </w:rPr>
      </w:pPr>
      <w:r w:rsidRPr="009637B7">
        <w:rPr>
          <w:b/>
        </w:rPr>
        <w:t>Что дало нам наша исследовательская работа</w:t>
      </w:r>
    </w:p>
    <w:p w:rsidR="009637B7" w:rsidRPr="009637B7" w:rsidRDefault="009637B7" w:rsidP="00510B62">
      <w:pPr>
        <w:pStyle w:val="a7"/>
        <w:spacing w:before="0" w:beforeAutospacing="0" w:after="0" w:afterAutospacing="0"/>
        <w:jc w:val="both"/>
        <w:rPr>
          <w:b/>
        </w:rPr>
      </w:pPr>
    </w:p>
    <w:p w:rsidR="007D712B" w:rsidRPr="009637B7" w:rsidRDefault="007D712B" w:rsidP="00510B62">
      <w:pPr>
        <w:pStyle w:val="a7"/>
        <w:spacing w:before="0" w:beforeAutospacing="0" w:after="0" w:afterAutospacing="0"/>
        <w:jc w:val="both"/>
        <w:rPr>
          <w:bCs/>
        </w:rPr>
      </w:pPr>
      <w:r w:rsidRPr="009637B7">
        <w:rPr>
          <w:bCs/>
        </w:rPr>
        <w:t>1. Мы научились вести исследовательскую работу, рассмотреть изучаемый объект с разных сторон,  выявляя взаимосвязи</w:t>
      </w:r>
      <w:r w:rsidR="000D2BBC" w:rsidRPr="009637B7">
        <w:rPr>
          <w:bCs/>
        </w:rPr>
        <w:t xml:space="preserve">, научились делать </w:t>
      </w:r>
      <w:r w:rsidRPr="009637B7">
        <w:rPr>
          <w:bCs/>
        </w:rPr>
        <w:t xml:space="preserve"> анализ;</w:t>
      </w:r>
    </w:p>
    <w:p w:rsidR="009637B7" w:rsidRPr="009637B7" w:rsidRDefault="009637B7" w:rsidP="009637B7">
      <w:pPr>
        <w:shd w:val="clear" w:color="auto" w:fill="FFFFFF"/>
        <w:spacing w:after="0" w:line="240" w:lineRule="auto"/>
        <w:jc w:val="both"/>
        <w:rPr>
          <w:rFonts w:ascii="Times New Roman" w:eastAsia="Times New Roman" w:hAnsi="Times New Roman" w:cs="Times New Roman"/>
          <w:b/>
          <w:sz w:val="24"/>
          <w:szCs w:val="24"/>
        </w:rPr>
      </w:pPr>
      <w:r w:rsidRPr="009637B7">
        <w:rPr>
          <w:rFonts w:ascii="Times New Roman" w:eastAsia="Times New Roman" w:hAnsi="Times New Roman" w:cs="Times New Roman"/>
          <w:sz w:val="24"/>
          <w:szCs w:val="24"/>
        </w:rPr>
        <w:t xml:space="preserve">2. Теперь мы можем понять широко используемые на практике способы предупреждения и борьбы с коррозией. Однако они полностью не защищают металлы от разрушения, поэтому учёные заняты поиском новых, более перспективных способов защиты. </w:t>
      </w:r>
      <w:r w:rsidRPr="009637B7">
        <w:rPr>
          <w:rFonts w:ascii="Times New Roman" w:eastAsia="Times New Roman" w:hAnsi="Times New Roman" w:cs="Times New Roman"/>
          <w:b/>
          <w:sz w:val="24"/>
          <w:szCs w:val="24"/>
        </w:rPr>
        <w:t>Коррозия металлов осуществляется в соответствие с законами природы, и поэтому её нельзя полностью устранить, её можно лишь замедлить.</w:t>
      </w:r>
    </w:p>
    <w:p w:rsidR="009637B7" w:rsidRPr="009637B7" w:rsidRDefault="009637B7" w:rsidP="00510B62">
      <w:pPr>
        <w:pStyle w:val="a7"/>
        <w:spacing w:before="0" w:beforeAutospacing="0" w:after="0" w:afterAutospacing="0"/>
        <w:jc w:val="both"/>
        <w:rPr>
          <w:b/>
          <w:bCs/>
        </w:rPr>
      </w:pPr>
    </w:p>
    <w:p w:rsidR="00CA5C41" w:rsidRPr="009637B7" w:rsidRDefault="00CA5C41" w:rsidP="00510B62">
      <w:pPr>
        <w:spacing w:after="0" w:line="240" w:lineRule="auto"/>
        <w:ind w:firstLine="567"/>
        <w:jc w:val="center"/>
        <w:rPr>
          <w:rFonts w:ascii="Times New Roman" w:eastAsia="Calibri" w:hAnsi="Times New Roman" w:cs="Times New Roman"/>
          <w:b/>
          <w:sz w:val="24"/>
          <w:szCs w:val="24"/>
          <w:lang w:eastAsia="en-US"/>
        </w:rPr>
      </w:pPr>
      <w:r w:rsidRPr="009637B7">
        <w:rPr>
          <w:rFonts w:ascii="Times New Roman" w:eastAsia="Calibri" w:hAnsi="Times New Roman" w:cs="Times New Roman"/>
          <w:b/>
          <w:sz w:val="24"/>
          <w:szCs w:val="24"/>
          <w:lang w:eastAsia="en-US"/>
        </w:rPr>
        <w:t>Литература:</w:t>
      </w:r>
    </w:p>
    <w:p w:rsidR="009637B7" w:rsidRPr="009637B7" w:rsidRDefault="009637B7" w:rsidP="00510B62">
      <w:pPr>
        <w:spacing w:after="0" w:line="240" w:lineRule="auto"/>
        <w:ind w:firstLine="567"/>
        <w:jc w:val="center"/>
        <w:rPr>
          <w:rFonts w:ascii="Times New Roman" w:eastAsia="Calibri" w:hAnsi="Times New Roman" w:cs="Times New Roman"/>
          <w:b/>
          <w:sz w:val="24"/>
          <w:szCs w:val="24"/>
          <w:lang w:eastAsia="en-US"/>
        </w:rPr>
      </w:pPr>
    </w:p>
    <w:p w:rsidR="00CA5C41" w:rsidRPr="009637B7" w:rsidRDefault="00CA5C41" w:rsidP="00510B62">
      <w:pPr>
        <w:spacing w:after="0" w:line="240" w:lineRule="auto"/>
        <w:jc w:val="both"/>
        <w:rPr>
          <w:rFonts w:ascii="Times New Roman" w:eastAsia="Calibri" w:hAnsi="Times New Roman" w:cs="Times New Roman"/>
          <w:sz w:val="24"/>
          <w:szCs w:val="24"/>
          <w:lang w:eastAsia="en-US"/>
        </w:rPr>
      </w:pPr>
      <w:r w:rsidRPr="009637B7">
        <w:rPr>
          <w:rFonts w:ascii="Times New Roman" w:hAnsi="Times New Roman" w:cs="Times New Roman"/>
          <w:snapToGrid w:val="0"/>
          <w:sz w:val="24"/>
          <w:szCs w:val="24"/>
        </w:rPr>
        <w:t>1. Годовая отчетность НГДУ «Джалильнефть» за 2012-2017 гг.</w:t>
      </w:r>
    </w:p>
    <w:p w:rsidR="00CA5C41" w:rsidRPr="009637B7" w:rsidRDefault="00CA5C41" w:rsidP="00510B62">
      <w:pPr>
        <w:tabs>
          <w:tab w:val="left" w:pos="1898"/>
          <w:tab w:val="left" w:pos="3957"/>
        </w:tabs>
        <w:spacing w:after="0" w:line="240" w:lineRule="auto"/>
        <w:jc w:val="both"/>
        <w:rPr>
          <w:rFonts w:ascii="Times New Roman" w:hAnsi="Times New Roman" w:cs="Times New Roman"/>
          <w:sz w:val="24"/>
          <w:szCs w:val="24"/>
        </w:rPr>
      </w:pPr>
      <w:r w:rsidRPr="009637B7">
        <w:rPr>
          <w:rFonts w:ascii="Times New Roman" w:eastAsia="Tahoma" w:hAnsi="Times New Roman" w:cs="Times New Roman"/>
          <w:i/>
          <w:sz w:val="24"/>
          <w:szCs w:val="24"/>
        </w:rPr>
        <w:t xml:space="preserve">2. </w:t>
      </w:r>
      <w:r w:rsidRPr="009637B7">
        <w:rPr>
          <w:rFonts w:ascii="Times New Roman" w:eastAsia="Tahoma" w:hAnsi="Times New Roman" w:cs="Times New Roman"/>
          <w:sz w:val="24"/>
          <w:szCs w:val="24"/>
        </w:rPr>
        <w:t>Материалы Международной научно-практической конференции, посвященной 60-летию высшего нефтегазового образования в Республике Татарстан «Достижения, проблемы и перспективы развития нефтегазовой отрасли». – Альметьевск: Альметьевский государственный нефтяной институт. – 2016. Т. 1. – 508 с.</w:t>
      </w:r>
    </w:p>
    <w:p w:rsidR="00CA5C41" w:rsidRPr="009637B7" w:rsidRDefault="00CA5C41" w:rsidP="00510B62">
      <w:pPr>
        <w:spacing w:after="0" w:line="240" w:lineRule="auto"/>
      </w:pPr>
      <w:r w:rsidRPr="009637B7">
        <w:rPr>
          <w:rFonts w:ascii="Times New Roman" w:hAnsi="Times New Roman" w:cs="Times New Roman"/>
          <w:sz w:val="24"/>
          <w:szCs w:val="24"/>
        </w:rPr>
        <w:t xml:space="preserve">3. Материалы исследовательских работ учащихся МБОУ "Джалильская СОШ №2"  из сайта </w:t>
      </w:r>
      <w:hyperlink r:id="rId35" w:history="1">
        <w:r w:rsidRPr="009637B7">
          <w:rPr>
            <w:rStyle w:val="a9"/>
            <w:rFonts w:ascii="Times New Roman" w:hAnsi="Times New Roman" w:cs="Times New Roman"/>
            <w:color w:val="auto"/>
            <w:sz w:val="24"/>
            <w:szCs w:val="24"/>
          </w:rPr>
          <w:t>http://project.1september.ru/</w:t>
        </w:r>
      </w:hyperlink>
    </w:p>
    <w:p w:rsidR="00457686" w:rsidRPr="009637B7" w:rsidRDefault="00457686" w:rsidP="00457686">
      <w:pPr>
        <w:autoSpaceDE w:val="0"/>
        <w:autoSpaceDN w:val="0"/>
        <w:adjustRightInd w:val="0"/>
        <w:spacing w:after="0" w:line="240" w:lineRule="auto"/>
        <w:rPr>
          <w:rFonts w:ascii="TimesNewRomanPSMT" w:hAnsi="TimesNewRomanPSMT" w:cs="TimesNewRomanPSMT"/>
          <w:sz w:val="26"/>
          <w:szCs w:val="26"/>
        </w:rPr>
      </w:pPr>
      <w:r w:rsidRPr="009637B7">
        <w:rPr>
          <w:rFonts w:ascii="TimesNewRomanPSMT" w:hAnsi="TimesNewRomanPSMT" w:cs="TimesNewRomanPSMT"/>
          <w:sz w:val="26"/>
          <w:szCs w:val="26"/>
        </w:rPr>
        <w:t>4. Трубопроводный транспорт нефти и газа : учеб.пособие /</w:t>
      </w:r>
    </w:p>
    <w:p w:rsidR="00457686" w:rsidRPr="009637B7" w:rsidRDefault="00457686" w:rsidP="00457686">
      <w:pPr>
        <w:rPr>
          <w:szCs w:val="24"/>
        </w:rPr>
      </w:pPr>
      <w:r w:rsidRPr="009637B7">
        <w:rPr>
          <w:rFonts w:ascii="TimesNewRomanPSMT" w:hAnsi="TimesNewRomanPSMT" w:cs="TimesNewRomanPSMT"/>
          <w:sz w:val="26"/>
          <w:szCs w:val="26"/>
        </w:rPr>
        <w:t>Е. Л. Полубоярцев, Е. В. Исупова. – Ухта : УГТУ, 2014. – 144 с.</w:t>
      </w:r>
    </w:p>
    <w:p w:rsidR="000D2BBC" w:rsidRDefault="000D2BBC"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9637B7" w:rsidRPr="009637B7" w:rsidRDefault="009637B7"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7D712B" w:rsidRPr="009637B7" w:rsidRDefault="006739FF"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r w:rsidRPr="009637B7">
        <w:rPr>
          <w:rFonts w:ascii="Times New Roman" w:hAnsi="Times New Roman" w:cs="Times New Roman"/>
          <w:b/>
          <w:sz w:val="24"/>
          <w:szCs w:val="24"/>
        </w:rPr>
        <w:lastRenderedPageBreak/>
        <w:t>Приложения</w:t>
      </w:r>
    </w:p>
    <w:p w:rsidR="000D2BBC" w:rsidRPr="009637B7" w:rsidRDefault="000D2BBC" w:rsidP="00510B62">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284E23" w:rsidRPr="009637B7" w:rsidRDefault="00284E23" w:rsidP="00284E23">
      <w:pPr>
        <w:spacing w:after="0" w:line="240" w:lineRule="auto"/>
        <w:ind w:firstLine="540"/>
        <w:jc w:val="both"/>
        <w:rPr>
          <w:rFonts w:ascii="Times New Roman" w:hAnsi="Times New Roman" w:cs="Times New Roman"/>
          <w:sz w:val="24"/>
          <w:szCs w:val="24"/>
        </w:rPr>
      </w:pPr>
      <w:r w:rsidRPr="009637B7">
        <w:rPr>
          <w:rFonts w:ascii="Times New Roman" w:hAnsi="Times New Roman" w:cs="Times New Roman"/>
          <w:sz w:val="24"/>
          <w:szCs w:val="24"/>
        </w:rPr>
        <w:t>Динамика порывности трубопроводов по срокам ввода в эксплуатацию представлена в таблице 3.1.</w:t>
      </w:r>
    </w:p>
    <w:p w:rsidR="00284E23" w:rsidRPr="009637B7" w:rsidRDefault="00284E23" w:rsidP="00284E23">
      <w:pPr>
        <w:spacing w:after="0" w:line="240" w:lineRule="auto"/>
        <w:ind w:firstLine="360"/>
        <w:jc w:val="right"/>
        <w:rPr>
          <w:rFonts w:ascii="Times New Roman" w:hAnsi="Times New Roman" w:cs="Times New Roman"/>
          <w:sz w:val="24"/>
          <w:szCs w:val="24"/>
        </w:rPr>
      </w:pPr>
      <w:r w:rsidRPr="009637B7">
        <w:rPr>
          <w:rFonts w:ascii="Times New Roman" w:hAnsi="Times New Roman" w:cs="Times New Roman"/>
          <w:b/>
          <w:sz w:val="24"/>
          <w:szCs w:val="24"/>
        </w:rPr>
        <w:t>Таблица 3.1</w:t>
      </w:r>
      <w:r w:rsidRPr="009637B7">
        <w:rPr>
          <w:rFonts w:ascii="Times New Roman" w:hAnsi="Times New Roman" w:cs="Times New Roman"/>
          <w:sz w:val="24"/>
          <w:szCs w:val="24"/>
        </w:rPr>
        <w:t>.</w:t>
      </w:r>
    </w:p>
    <w:tbl>
      <w:tblPr>
        <w:tblW w:w="8530" w:type="dxa"/>
        <w:jc w:val="center"/>
        <w:tblLook w:val="04A0" w:firstRow="1" w:lastRow="0" w:firstColumn="1" w:lastColumn="0" w:noHBand="0" w:noVBand="1"/>
      </w:tblPr>
      <w:tblGrid>
        <w:gridCol w:w="1066"/>
        <w:gridCol w:w="1066"/>
        <w:gridCol w:w="1066"/>
        <w:gridCol w:w="1066"/>
        <w:gridCol w:w="1066"/>
        <w:gridCol w:w="1066"/>
        <w:gridCol w:w="1066"/>
        <w:gridCol w:w="1068"/>
      </w:tblGrid>
      <w:tr w:rsidR="00284E23" w:rsidRPr="009637B7" w:rsidTr="00967B32">
        <w:trPr>
          <w:trHeight w:val="320"/>
          <w:jc w:val="center"/>
        </w:trPr>
        <w:tc>
          <w:tcPr>
            <w:tcW w:w="106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 </w:t>
            </w:r>
          </w:p>
        </w:tc>
        <w:tc>
          <w:tcPr>
            <w:tcW w:w="7464" w:type="dxa"/>
            <w:gridSpan w:val="7"/>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Срок эксплуатации нефтепроводов</w:t>
            </w:r>
          </w:p>
        </w:tc>
      </w:tr>
      <w:tr w:rsidR="00284E23" w:rsidRPr="009637B7" w:rsidTr="00967B32">
        <w:trPr>
          <w:trHeight w:val="754"/>
          <w:jc w:val="center"/>
        </w:trPr>
        <w:tc>
          <w:tcPr>
            <w:tcW w:w="1066" w:type="dxa"/>
            <w:vMerge/>
            <w:tcBorders>
              <w:top w:val="single" w:sz="4" w:space="0" w:color="auto"/>
              <w:left w:val="single" w:sz="4" w:space="0" w:color="auto"/>
              <w:bottom w:val="single" w:sz="4" w:space="0" w:color="auto"/>
              <w:right w:val="single" w:sz="4" w:space="0" w:color="auto"/>
            </w:tcBorders>
            <w:vAlign w:val="center"/>
          </w:tcPr>
          <w:p w:rsidR="00284E23" w:rsidRPr="009637B7" w:rsidRDefault="00284E23" w:rsidP="000D2BBC">
            <w:pPr>
              <w:spacing w:after="0" w:line="240" w:lineRule="auto"/>
              <w:rPr>
                <w:rFonts w:ascii="Times New Roman" w:hAnsi="Times New Roman" w:cs="Times New Roman"/>
                <w:sz w:val="24"/>
                <w:szCs w:val="24"/>
              </w:rPr>
            </w:pP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до 5 лет</w:t>
            </w: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6-12 лет</w:t>
            </w: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13-15лет</w:t>
            </w: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16-20лет</w:t>
            </w: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21-30лет</w:t>
            </w:r>
          </w:p>
        </w:tc>
        <w:tc>
          <w:tcPr>
            <w:tcW w:w="1066"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более 30лет</w:t>
            </w:r>
          </w:p>
        </w:tc>
        <w:tc>
          <w:tcPr>
            <w:tcW w:w="1068" w:type="dxa"/>
            <w:tcBorders>
              <w:top w:val="nil"/>
              <w:left w:val="nil"/>
              <w:bottom w:val="single" w:sz="4" w:space="0" w:color="auto"/>
              <w:right w:val="single" w:sz="4" w:space="0" w:color="auto"/>
            </w:tcBorders>
            <w:shd w:val="clear" w:color="auto" w:fill="auto"/>
            <w:vAlign w:val="center"/>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Итого</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2001г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295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644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234</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1431</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2002г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102</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195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475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139</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1032</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2003г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12</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329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101</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674</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2004г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225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89</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496</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2005г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163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95</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438</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2006г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77</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366</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2007г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52</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78</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314</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2008г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92</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75</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302</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2009г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36</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80</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251</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2010г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42</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96</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273</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2011г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16</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59</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71</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196</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2012г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57</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151</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2013г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0</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15</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51</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122</w:t>
            </w:r>
          </w:p>
        </w:tc>
      </w:tr>
      <w:tr w:rsidR="00284E23" w:rsidRPr="009637B7" w:rsidTr="00967B32">
        <w:trPr>
          <w:trHeight w:val="320"/>
          <w:jc w:val="center"/>
        </w:trPr>
        <w:tc>
          <w:tcPr>
            <w:tcW w:w="1066" w:type="dxa"/>
            <w:tcBorders>
              <w:top w:val="nil"/>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2014г</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18</w:t>
            </w:r>
          </w:p>
        </w:tc>
        <w:tc>
          <w:tcPr>
            <w:tcW w:w="1066"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47</w:t>
            </w:r>
          </w:p>
        </w:tc>
        <w:tc>
          <w:tcPr>
            <w:tcW w:w="1068" w:type="dxa"/>
            <w:tcBorders>
              <w:top w:val="nil"/>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105</w:t>
            </w:r>
          </w:p>
        </w:tc>
      </w:tr>
      <w:tr w:rsidR="00284E23" w:rsidRPr="009637B7" w:rsidTr="00967B32">
        <w:trPr>
          <w:trHeight w:val="320"/>
          <w:jc w:val="center"/>
        </w:trPr>
        <w:tc>
          <w:tcPr>
            <w:tcW w:w="10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2015г</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20</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21</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14</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39</w:t>
            </w:r>
          </w:p>
        </w:tc>
        <w:tc>
          <w:tcPr>
            <w:tcW w:w="1068"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99</w:t>
            </w:r>
          </w:p>
        </w:tc>
      </w:tr>
      <w:tr w:rsidR="00284E23" w:rsidRPr="009637B7" w:rsidTr="00967B32">
        <w:trPr>
          <w:trHeight w:val="320"/>
          <w:jc w:val="center"/>
        </w:trPr>
        <w:tc>
          <w:tcPr>
            <w:tcW w:w="10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2016г</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2</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7</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8</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46</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47</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40</w:t>
            </w:r>
          </w:p>
        </w:tc>
        <w:tc>
          <w:tcPr>
            <w:tcW w:w="1068"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150</w:t>
            </w:r>
          </w:p>
        </w:tc>
      </w:tr>
      <w:tr w:rsidR="00284E23" w:rsidRPr="009637B7" w:rsidTr="00967B32">
        <w:trPr>
          <w:trHeight w:val="320"/>
          <w:jc w:val="center"/>
        </w:trPr>
        <w:tc>
          <w:tcPr>
            <w:tcW w:w="1066" w:type="dxa"/>
            <w:tcBorders>
              <w:top w:val="single" w:sz="4" w:space="0" w:color="auto"/>
              <w:left w:val="single" w:sz="4" w:space="0" w:color="auto"/>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rPr>
                <w:rFonts w:ascii="Times New Roman" w:hAnsi="Times New Roman" w:cs="Times New Roman"/>
                <w:sz w:val="24"/>
                <w:szCs w:val="24"/>
              </w:rPr>
            </w:pPr>
            <w:r w:rsidRPr="009637B7">
              <w:rPr>
                <w:rFonts w:ascii="Times New Roman" w:hAnsi="Times New Roman" w:cs="Times New Roman"/>
                <w:sz w:val="24"/>
                <w:szCs w:val="24"/>
              </w:rPr>
              <w:t>2017г</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6</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12</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38</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36</w:t>
            </w:r>
          </w:p>
        </w:tc>
        <w:tc>
          <w:tcPr>
            <w:tcW w:w="1066"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46</w:t>
            </w:r>
          </w:p>
        </w:tc>
        <w:tc>
          <w:tcPr>
            <w:tcW w:w="1068" w:type="dxa"/>
            <w:tcBorders>
              <w:top w:val="single" w:sz="4" w:space="0" w:color="auto"/>
              <w:left w:val="nil"/>
              <w:bottom w:val="single" w:sz="4" w:space="0" w:color="auto"/>
              <w:right w:val="single" w:sz="4" w:space="0" w:color="auto"/>
            </w:tcBorders>
            <w:shd w:val="clear" w:color="auto" w:fill="auto"/>
            <w:noWrap/>
            <w:vAlign w:val="bottom"/>
          </w:tcPr>
          <w:p w:rsidR="00284E23" w:rsidRPr="009637B7" w:rsidRDefault="00284E23" w:rsidP="000D2BBC">
            <w:pPr>
              <w:spacing w:after="0" w:line="240" w:lineRule="auto"/>
              <w:jc w:val="center"/>
              <w:rPr>
                <w:rFonts w:ascii="Times New Roman" w:hAnsi="Times New Roman" w:cs="Times New Roman"/>
                <w:sz w:val="24"/>
                <w:szCs w:val="24"/>
              </w:rPr>
            </w:pPr>
            <w:r w:rsidRPr="009637B7">
              <w:rPr>
                <w:rFonts w:ascii="Times New Roman" w:hAnsi="Times New Roman" w:cs="Times New Roman"/>
                <w:sz w:val="24"/>
                <w:szCs w:val="24"/>
              </w:rPr>
              <w:t>139</w:t>
            </w:r>
          </w:p>
        </w:tc>
      </w:tr>
    </w:tbl>
    <w:p w:rsidR="00284E23" w:rsidRPr="009637B7" w:rsidRDefault="00284E23" w:rsidP="000D2BBC">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6739FF" w:rsidRPr="009637B7" w:rsidRDefault="006739FF" w:rsidP="004A2B9B">
      <w:pPr>
        <w:spacing w:after="0" w:line="240" w:lineRule="auto"/>
        <w:ind w:firstLine="900"/>
        <w:jc w:val="both"/>
        <w:rPr>
          <w:rFonts w:ascii="Times New Roman" w:hAnsi="Times New Roman" w:cs="Times New Roman"/>
          <w:b/>
          <w:sz w:val="24"/>
          <w:szCs w:val="24"/>
        </w:rPr>
      </w:pPr>
      <w:r w:rsidRPr="009637B7">
        <w:rPr>
          <w:rFonts w:ascii="Times New Roman" w:hAnsi="Times New Roman" w:cs="Times New Roman"/>
          <w:bCs/>
          <w:sz w:val="24"/>
          <w:szCs w:val="24"/>
        </w:rPr>
        <w:t xml:space="preserve">В 2017 году в системе нефтесбора выявлено 64 объекта, продукция которых заражена СВБ </w:t>
      </w:r>
      <w:r w:rsidR="004A2B9B" w:rsidRPr="009637B7">
        <w:rPr>
          <w:rFonts w:ascii="Times New Roman" w:hAnsi="Times New Roman" w:cs="Times New Roman"/>
          <w:b/>
          <w:sz w:val="24"/>
          <w:szCs w:val="24"/>
        </w:rPr>
        <w:t xml:space="preserve">                                                                                                              </w:t>
      </w:r>
      <w:r w:rsidR="003362C2" w:rsidRPr="009637B7">
        <w:rPr>
          <w:rFonts w:ascii="Times New Roman" w:hAnsi="Times New Roman" w:cs="Times New Roman"/>
          <w:b/>
          <w:bCs/>
        </w:rPr>
        <w:t>Таблица 3.2</w:t>
      </w:r>
      <w:r w:rsidRPr="009637B7">
        <w:rPr>
          <w:rFonts w:ascii="Times New Roman" w:hAnsi="Times New Roman" w:cs="Times New Roman"/>
          <w:b/>
          <w:bCs/>
        </w:rPr>
        <w:t>.</w:t>
      </w:r>
    </w:p>
    <w:tbl>
      <w:tblPr>
        <w:tblW w:w="10174" w:type="dxa"/>
        <w:tblInd w:w="-318" w:type="dxa"/>
        <w:tblLayout w:type="fixed"/>
        <w:tblLook w:val="04A0" w:firstRow="1" w:lastRow="0" w:firstColumn="1" w:lastColumn="0" w:noHBand="0" w:noVBand="1"/>
      </w:tblPr>
      <w:tblGrid>
        <w:gridCol w:w="710"/>
        <w:gridCol w:w="567"/>
        <w:gridCol w:w="567"/>
        <w:gridCol w:w="567"/>
        <w:gridCol w:w="691"/>
        <w:gridCol w:w="726"/>
        <w:gridCol w:w="879"/>
        <w:gridCol w:w="539"/>
        <w:gridCol w:w="709"/>
        <w:gridCol w:w="459"/>
        <w:gridCol w:w="459"/>
        <w:gridCol w:w="774"/>
        <w:gridCol w:w="1248"/>
        <w:gridCol w:w="1279"/>
      </w:tblGrid>
      <w:tr w:rsidR="00284E23" w:rsidRPr="009637B7" w:rsidTr="000D2BBC">
        <w:trPr>
          <w:trHeight w:val="45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ЦДНГ</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Действующий фонд</w:t>
            </w:r>
          </w:p>
        </w:tc>
        <w:tc>
          <w:tcPr>
            <w:tcW w:w="2551" w:type="dxa"/>
            <w:gridSpan w:val="4"/>
            <w:tcBorders>
              <w:top w:val="single" w:sz="4" w:space="0" w:color="auto"/>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Обследовано на СВБ</w:t>
            </w: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Итого объектов</w:t>
            </w:r>
          </w:p>
        </w:tc>
        <w:tc>
          <w:tcPr>
            <w:tcW w:w="2166" w:type="dxa"/>
            <w:gridSpan w:val="4"/>
            <w:tcBorders>
              <w:top w:val="single" w:sz="4" w:space="0" w:color="auto"/>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Обнаружено СВБ</w:t>
            </w:r>
          </w:p>
        </w:tc>
        <w:tc>
          <w:tcPr>
            <w:tcW w:w="7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Итого объек-тов</w:t>
            </w:r>
          </w:p>
        </w:tc>
        <w:tc>
          <w:tcPr>
            <w:tcW w:w="124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 зараженных скважин к обследов.</w:t>
            </w:r>
          </w:p>
        </w:tc>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 зараженных скважин к дейст.фонду</w:t>
            </w:r>
          </w:p>
        </w:tc>
      </w:tr>
      <w:tr w:rsidR="00284E23" w:rsidRPr="009637B7" w:rsidTr="000D2BBC">
        <w:trPr>
          <w:trHeight w:val="1545"/>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Бриг.вх. в ТП</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ДНС</w:t>
            </w:r>
          </w:p>
        </w:tc>
        <w:tc>
          <w:tcPr>
            <w:tcW w:w="691" w:type="dxa"/>
            <w:tcBorders>
              <w:top w:val="nil"/>
              <w:left w:val="nil"/>
              <w:bottom w:val="single" w:sz="4" w:space="0" w:color="auto"/>
              <w:right w:val="single" w:sz="4" w:space="0" w:color="auto"/>
            </w:tcBorders>
            <w:shd w:val="clear" w:color="auto" w:fill="auto"/>
            <w:noWrap/>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ГЗУ</w:t>
            </w:r>
          </w:p>
        </w:tc>
        <w:tc>
          <w:tcPr>
            <w:tcW w:w="726" w:type="dxa"/>
            <w:tcBorders>
              <w:top w:val="nil"/>
              <w:left w:val="nil"/>
              <w:bottom w:val="single" w:sz="4" w:space="0" w:color="auto"/>
              <w:right w:val="single" w:sz="4" w:space="0" w:color="auto"/>
            </w:tcBorders>
            <w:shd w:val="clear" w:color="auto" w:fill="auto"/>
            <w:noWrap/>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скв-ны</w:t>
            </w: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c>
          <w:tcPr>
            <w:tcW w:w="539" w:type="dxa"/>
            <w:tcBorders>
              <w:top w:val="nil"/>
              <w:left w:val="nil"/>
              <w:bottom w:val="single" w:sz="4" w:space="0" w:color="auto"/>
              <w:right w:val="single" w:sz="4" w:space="0" w:color="auto"/>
            </w:tcBorders>
            <w:shd w:val="clear" w:color="auto" w:fill="auto"/>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Бриг.вх. в ТП</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ДНС (дренаж.емкости)</w:t>
            </w:r>
          </w:p>
        </w:tc>
        <w:tc>
          <w:tcPr>
            <w:tcW w:w="459" w:type="dxa"/>
            <w:tcBorders>
              <w:top w:val="nil"/>
              <w:left w:val="nil"/>
              <w:bottom w:val="single" w:sz="4" w:space="0" w:color="auto"/>
              <w:right w:val="single" w:sz="4" w:space="0" w:color="auto"/>
            </w:tcBorders>
            <w:shd w:val="clear" w:color="auto" w:fill="auto"/>
            <w:noWrap/>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ГЗУ</w:t>
            </w:r>
          </w:p>
        </w:tc>
        <w:tc>
          <w:tcPr>
            <w:tcW w:w="459" w:type="dxa"/>
            <w:tcBorders>
              <w:top w:val="nil"/>
              <w:left w:val="nil"/>
              <w:bottom w:val="single" w:sz="4" w:space="0" w:color="auto"/>
              <w:right w:val="single" w:sz="4" w:space="0" w:color="auto"/>
            </w:tcBorders>
            <w:shd w:val="clear" w:color="auto" w:fill="auto"/>
            <w:noWrap/>
            <w:textDirection w:val="btLr"/>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скв-ны</w:t>
            </w:r>
          </w:p>
        </w:tc>
        <w:tc>
          <w:tcPr>
            <w:tcW w:w="774"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c>
          <w:tcPr>
            <w:tcW w:w="1248"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c>
          <w:tcPr>
            <w:tcW w:w="1279" w:type="dxa"/>
            <w:vMerge/>
            <w:tcBorders>
              <w:top w:val="single" w:sz="4" w:space="0" w:color="auto"/>
              <w:left w:val="single" w:sz="4" w:space="0" w:color="auto"/>
              <w:bottom w:val="single" w:sz="4" w:space="0" w:color="auto"/>
              <w:right w:val="single" w:sz="4" w:space="0" w:color="auto"/>
            </w:tcBorders>
            <w:vAlign w:val="center"/>
            <w:hideMark/>
          </w:tcPr>
          <w:p w:rsidR="006739FF" w:rsidRPr="009637B7" w:rsidRDefault="006739FF" w:rsidP="000D2BBC">
            <w:pPr>
              <w:spacing w:after="0" w:line="240" w:lineRule="auto"/>
              <w:rPr>
                <w:rFonts w:ascii="Times New Roman" w:hAnsi="Times New Roman" w:cs="Times New Roman"/>
              </w:rPr>
            </w:pP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353</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13</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317</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334</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6</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7</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1,9%</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1,7%</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2</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547</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6</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22</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471</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503</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0</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10</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10</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2,1%</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1,8%</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4</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473</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11</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403</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418</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20</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21</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5,0%</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4,2%</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5</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513</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22</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91</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118</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7</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9</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7,7%</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1,4%</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6</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435</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26</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92</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124</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2,2%</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0,5%</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7</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521</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41</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82</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125</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11</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13,4%</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2,1%</w:t>
            </w:r>
          </w:p>
        </w:tc>
      </w:tr>
      <w:tr w:rsidR="00284E23" w:rsidRPr="009637B7" w:rsidTr="000D2BBC">
        <w:trPr>
          <w:trHeight w:val="330"/>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2842</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15</w:t>
            </w:r>
          </w:p>
        </w:tc>
        <w:tc>
          <w:tcPr>
            <w:tcW w:w="567"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16</w:t>
            </w:r>
          </w:p>
        </w:tc>
        <w:tc>
          <w:tcPr>
            <w:tcW w:w="691"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135</w:t>
            </w:r>
          </w:p>
        </w:tc>
        <w:tc>
          <w:tcPr>
            <w:tcW w:w="726"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1456</w:t>
            </w:r>
          </w:p>
        </w:tc>
        <w:tc>
          <w:tcPr>
            <w:tcW w:w="87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1622</w:t>
            </w:r>
          </w:p>
        </w:tc>
        <w:tc>
          <w:tcPr>
            <w:tcW w:w="53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70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8</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w:t>
            </w:r>
          </w:p>
        </w:tc>
        <w:tc>
          <w:tcPr>
            <w:tcW w:w="459"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56</w:t>
            </w:r>
          </w:p>
        </w:tc>
        <w:tc>
          <w:tcPr>
            <w:tcW w:w="774"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64</w:t>
            </w:r>
          </w:p>
        </w:tc>
        <w:tc>
          <w:tcPr>
            <w:tcW w:w="1248" w:type="dxa"/>
            <w:tcBorders>
              <w:top w:val="nil"/>
              <w:left w:val="nil"/>
              <w:bottom w:val="single" w:sz="4" w:space="0" w:color="auto"/>
              <w:right w:val="single" w:sz="4" w:space="0" w:color="auto"/>
            </w:tcBorders>
            <w:shd w:val="clear" w:color="auto" w:fill="auto"/>
            <w:noWrap/>
            <w:vAlign w:val="center"/>
            <w:hideMark/>
          </w:tcPr>
          <w:p w:rsidR="006739FF" w:rsidRPr="009637B7" w:rsidRDefault="006739FF" w:rsidP="000D2BBC">
            <w:pPr>
              <w:spacing w:after="0" w:line="240" w:lineRule="auto"/>
              <w:jc w:val="center"/>
              <w:rPr>
                <w:rFonts w:ascii="Times New Roman" w:hAnsi="Times New Roman" w:cs="Times New Roman"/>
              </w:rPr>
            </w:pPr>
            <w:r w:rsidRPr="009637B7">
              <w:rPr>
                <w:rFonts w:ascii="Times New Roman" w:hAnsi="Times New Roman" w:cs="Times New Roman"/>
              </w:rPr>
              <w:t>3,8%</w:t>
            </w:r>
          </w:p>
        </w:tc>
        <w:tc>
          <w:tcPr>
            <w:tcW w:w="1279" w:type="dxa"/>
            <w:tcBorders>
              <w:top w:val="nil"/>
              <w:left w:val="nil"/>
              <w:bottom w:val="single" w:sz="4" w:space="0" w:color="auto"/>
              <w:right w:val="single" w:sz="4" w:space="0" w:color="auto"/>
            </w:tcBorders>
            <w:shd w:val="clear" w:color="auto" w:fill="auto"/>
            <w:vAlign w:val="center"/>
            <w:hideMark/>
          </w:tcPr>
          <w:p w:rsidR="006739FF" w:rsidRPr="009637B7" w:rsidRDefault="006739FF" w:rsidP="000D2BBC">
            <w:pPr>
              <w:spacing w:after="0" w:line="240" w:lineRule="auto"/>
              <w:jc w:val="center"/>
              <w:rPr>
                <w:rFonts w:ascii="Times New Roman" w:hAnsi="Times New Roman" w:cs="Times New Roman"/>
                <w:b/>
                <w:bCs/>
              </w:rPr>
            </w:pPr>
            <w:r w:rsidRPr="009637B7">
              <w:rPr>
                <w:rFonts w:ascii="Times New Roman" w:hAnsi="Times New Roman" w:cs="Times New Roman"/>
                <w:b/>
                <w:bCs/>
              </w:rPr>
              <w:t>2,0%</w:t>
            </w:r>
          </w:p>
        </w:tc>
      </w:tr>
    </w:tbl>
    <w:p w:rsidR="00E65E45" w:rsidRPr="009637B7" w:rsidRDefault="00E65E45" w:rsidP="000D2BBC">
      <w:pPr>
        <w:shd w:val="clear" w:color="auto" w:fill="FFFFFF"/>
        <w:spacing w:after="0" w:line="240" w:lineRule="auto"/>
        <w:ind w:firstLine="720"/>
        <w:jc w:val="both"/>
        <w:rPr>
          <w:rFonts w:ascii="Times New Roman" w:hAnsi="Times New Roman" w:cs="Times New Roman"/>
          <w:b/>
        </w:rPr>
      </w:pPr>
      <w:r w:rsidRPr="009637B7">
        <w:rPr>
          <w:rFonts w:ascii="Times New Roman" w:hAnsi="Times New Roman" w:cs="Times New Roman"/>
        </w:rPr>
        <w:lastRenderedPageBreak/>
        <w:t xml:space="preserve">Сводная таблица зараженности СВБ в системе нефтесбора по годам представлена в </w:t>
      </w:r>
      <w:r w:rsidR="003362C2" w:rsidRPr="009637B7">
        <w:rPr>
          <w:rFonts w:ascii="Times New Roman" w:hAnsi="Times New Roman" w:cs="Times New Roman"/>
        </w:rPr>
        <w:t>таблице 3.3</w:t>
      </w:r>
      <w:r w:rsidRPr="009637B7">
        <w:rPr>
          <w:rFonts w:ascii="Times New Roman" w:hAnsi="Times New Roman" w:cs="Times New Roman"/>
          <w:b/>
        </w:rPr>
        <w:t>.</w:t>
      </w:r>
      <w:r w:rsidR="004A2B9B" w:rsidRPr="009637B7">
        <w:rPr>
          <w:rFonts w:ascii="Times New Roman" w:hAnsi="Times New Roman" w:cs="Times New Roman"/>
          <w:b/>
        </w:rPr>
        <w:t xml:space="preserve">                                                                                                                                            </w:t>
      </w:r>
      <w:r w:rsidR="003362C2" w:rsidRPr="009637B7">
        <w:rPr>
          <w:rFonts w:ascii="Times New Roman" w:hAnsi="Times New Roman" w:cs="Times New Roman"/>
          <w:b/>
        </w:rPr>
        <w:t>Таблица 3.3</w:t>
      </w:r>
      <w:r w:rsidRPr="009637B7">
        <w:rPr>
          <w:rFonts w:ascii="Times New Roman" w:hAnsi="Times New Roman" w:cs="Times New Roman"/>
          <w:b/>
        </w:rPr>
        <w:t>.</w:t>
      </w:r>
    </w:p>
    <w:tbl>
      <w:tblPr>
        <w:tblW w:w="9747" w:type="dxa"/>
        <w:tblInd w:w="-176" w:type="dxa"/>
        <w:tblLayout w:type="fixed"/>
        <w:tblLook w:val="04A0" w:firstRow="1" w:lastRow="0" w:firstColumn="1" w:lastColumn="0" w:noHBand="0" w:noVBand="1"/>
      </w:tblPr>
      <w:tblGrid>
        <w:gridCol w:w="707"/>
        <w:gridCol w:w="624"/>
        <w:gridCol w:w="624"/>
        <w:gridCol w:w="624"/>
        <w:gridCol w:w="625"/>
        <w:gridCol w:w="766"/>
        <w:gridCol w:w="812"/>
        <w:gridCol w:w="625"/>
        <w:gridCol w:w="625"/>
        <w:gridCol w:w="625"/>
        <w:gridCol w:w="625"/>
        <w:gridCol w:w="953"/>
        <w:gridCol w:w="1512"/>
      </w:tblGrid>
      <w:tr w:rsidR="00284E23" w:rsidRPr="009637B7" w:rsidTr="00625061">
        <w:trPr>
          <w:trHeight w:val="330"/>
        </w:trPr>
        <w:tc>
          <w:tcPr>
            <w:tcW w:w="70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Года</w:t>
            </w:r>
          </w:p>
        </w:tc>
        <w:tc>
          <w:tcPr>
            <w:tcW w:w="62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цех</w:t>
            </w:r>
          </w:p>
        </w:tc>
        <w:tc>
          <w:tcPr>
            <w:tcW w:w="6904" w:type="dxa"/>
            <w:gridSpan w:val="10"/>
            <w:tcBorders>
              <w:top w:val="single" w:sz="4" w:space="0" w:color="auto"/>
              <w:left w:val="nil"/>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Объекты</w:t>
            </w:r>
          </w:p>
        </w:tc>
        <w:tc>
          <w:tcPr>
            <w:tcW w:w="1512" w:type="dxa"/>
            <w:vMerge w:val="restart"/>
            <w:tcBorders>
              <w:top w:val="single" w:sz="4" w:space="0" w:color="auto"/>
              <w:left w:val="single" w:sz="4" w:space="0" w:color="auto"/>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зараженных к  обследованным  скважинам</w:t>
            </w:r>
          </w:p>
        </w:tc>
      </w:tr>
      <w:tr w:rsidR="00284E23" w:rsidRPr="009637B7" w:rsidTr="00625061">
        <w:trPr>
          <w:trHeight w:val="33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624" w:type="dxa"/>
            <w:vMerge/>
            <w:tcBorders>
              <w:top w:val="single" w:sz="4" w:space="0" w:color="auto"/>
              <w:left w:val="single" w:sz="4" w:space="0" w:color="auto"/>
              <w:bottom w:val="single" w:sz="4" w:space="0" w:color="000000"/>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2639" w:type="dxa"/>
            <w:gridSpan w:val="4"/>
            <w:tcBorders>
              <w:left w:val="nil"/>
              <w:bottom w:val="single" w:sz="4" w:space="0" w:color="auto"/>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обследовано на СВБ</w:t>
            </w:r>
          </w:p>
        </w:tc>
        <w:tc>
          <w:tcPr>
            <w:tcW w:w="812" w:type="dxa"/>
            <w:vMerge w:val="restart"/>
            <w:tcBorders>
              <w:left w:val="single" w:sz="4" w:space="0" w:color="auto"/>
              <w:bottom w:val="single" w:sz="4" w:space="0" w:color="auto"/>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Итого объектов</w:t>
            </w:r>
          </w:p>
        </w:tc>
        <w:tc>
          <w:tcPr>
            <w:tcW w:w="2500" w:type="dxa"/>
            <w:gridSpan w:val="4"/>
            <w:tcBorders>
              <w:left w:val="nil"/>
              <w:bottom w:val="single" w:sz="4" w:space="0" w:color="auto"/>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обнаружено СВБ</w:t>
            </w:r>
          </w:p>
        </w:tc>
        <w:tc>
          <w:tcPr>
            <w:tcW w:w="953" w:type="dxa"/>
            <w:vMerge w:val="restart"/>
            <w:tcBorders>
              <w:left w:val="single" w:sz="4" w:space="0" w:color="auto"/>
              <w:bottom w:val="single" w:sz="4" w:space="0" w:color="auto"/>
              <w:right w:val="single" w:sz="4" w:space="0" w:color="auto"/>
            </w:tcBorders>
            <w:shd w:val="clear" w:color="auto" w:fill="auto"/>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Итого объектов</w:t>
            </w:r>
          </w:p>
        </w:tc>
        <w:tc>
          <w:tcPr>
            <w:tcW w:w="1512" w:type="dxa"/>
            <w:vMerge/>
            <w:tcBorders>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r>
      <w:tr w:rsidR="00284E23" w:rsidRPr="009637B7" w:rsidTr="00625061">
        <w:trPr>
          <w:trHeight w:val="138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624" w:type="dxa"/>
            <w:vMerge/>
            <w:tcBorders>
              <w:top w:val="single" w:sz="4" w:space="0" w:color="auto"/>
              <w:left w:val="single" w:sz="4" w:space="0" w:color="auto"/>
              <w:bottom w:val="single" w:sz="4" w:space="0" w:color="000000"/>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624"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Бриг.вх. в ТП</w:t>
            </w:r>
          </w:p>
        </w:tc>
        <w:tc>
          <w:tcPr>
            <w:tcW w:w="624"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ДНС, УПС, ГЗНУ</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ГЗУ</w:t>
            </w:r>
          </w:p>
        </w:tc>
        <w:tc>
          <w:tcPr>
            <w:tcW w:w="766"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обследовано скважин</w:t>
            </w:r>
          </w:p>
        </w:tc>
        <w:tc>
          <w:tcPr>
            <w:tcW w:w="812" w:type="dxa"/>
            <w:vMerge/>
            <w:tcBorders>
              <w:top w:val="nil"/>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Бриг.вх. в ТП</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ДНС, УПС, ГЗНУ</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ГЗУ</w:t>
            </w:r>
          </w:p>
        </w:tc>
        <w:tc>
          <w:tcPr>
            <w:tcW w:w="625" w:type="dxa"/>
            <w:tcBorders>
              <w:top w:val="nil"/>
              <w:left w:val="nil"/>
              <w:bottom w:val="single" w:sz="4" w:space="0" w:color="auto"/>
              <w:right w:val="single" w:sz="4" w:space="0" w:color="auto"/>
            </w:tcBorders>
            <w:shd w:val="clear" w:color="auto" w:fill="auto"/>
            <w:textDirection w:val="btLr"/>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количество заражённых скважин</w:t>
            </w:r>
          </w:p>
        </w:tc>
        <w:tc>
          <w:tcPr>
            <w:tcW w:w="953" w:type="dxa"/>
            <w:vMerge/>
            <w:tcBorders>
              <w:top w:val="nil"/>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c>
          <w:tcPr>
            <w:tcW w:w="1512" w:type="dxa"/>
            <w:vMerge/>
            <w:tcBorders>
              <w:top w:val="single" w:sz="4" w:space="0" w:color="auto"/>
              <w:left w:val="single" w:sz="4" w:space="0" w:color="auto"/>
              <w:bottom w:val="single" w:sz="4" w:space="0" w:color="auto"/>
              <w:right w:val="single" w:sz="4" w:space="0" w:color="auto"/>
            </w:tcBorders>
            <w:vAlign w:val="center"/>
            <w:hideMark/>
          </w:tcPr>
          <w:p w:rsidR="00E65E45" w:rsidRPr="009637B7" w:rsidRDefault="00E65E45" w:rsidP="004A2B9B">
            <w:pPr>
              <w:spacing w:after="0" w:line="240" w:lineRule="auto"/>
              <w:rPr>
                <w:rFonts w:ascii="Times New Roman" w:hAnsi="Times New Roman" w:cs="Times New Roman"/>
              </w:rPr>
            </w:pP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2006</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19</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26</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211</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1194</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1454</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8</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47</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159</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220</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13,3</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2007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19</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271</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1905</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2226</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10</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53</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233</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300</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12,2</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2008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32</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382</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1041</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1482</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10</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32</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113</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158</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10,8</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2009</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35</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382</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1509</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1957</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xml:space="preserve"> -</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64</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69</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4,2</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2010</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30</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378</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1695</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2134</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xml:space="preserve"> -</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69</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73</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4,1</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2011</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279</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1507</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1846</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9</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43</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52</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2,9</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2012</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374</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1520</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1953</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7</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49</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56</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3,2</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2013</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365</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1599</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2023</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71</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82</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4,4</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366</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1744</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2169</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7</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61</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68</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3,5</w:t>
            </w:r>
          </w:p>
        </w:tc>
      </w:tr>
      <w:tr w:rsidR="00284E23" w:rsidRPr="009637B7" w:rsidTr="00625061">
        <w:trPr>
          <w:trHeight w:val="330"/>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2015</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28</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243</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1562</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1864</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9</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69</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78</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4,4</w:t>
            </w:r>
          </w:p>
        </w:tc>
      </w:tr>
      <w:tr w:rsidR="00284E23" w:rsidRPr="009637B7" w:rsidTr="00625061">
        <w:trPr>
          <w:trHeight w:val="255"/>
        </w:trPr>
        <w:tc>
          <w:tcPr>
            <w:tcW w:w="707" w:type="dxa"/>
            <w:tcBorders>
              <w:top w:val="nil"/>
              <w:left w:val="single" w:sz="4" w:space="0" w:color="auto"/>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2016</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5-7</w:t>
            </w:r>
          </w:p>
        </w:tc>
        <w:tc>
          <w:tcPr>
            <w:tcW w:w="624"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w:t>
            </w:r>
          </w:p>
        </w:tc>
        <w:tc>
          <w:tcPr>
            <w:tcW w:w="624"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17</w:t>
            </w:r>
          </w:p>
        </w:tc>
        <w:tc>
          <w:tcPr>
            <w:tcW w:w="625"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256</w:t>
            </w:r>
          </w:p>
        </w:tc>
        <w:tc>
          <w:tcPr>
            <w:tcW w:w="766"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1759</w:t>
            </w:r>
          </w:p>
        </w:tc>
        <w:tc>
          <w:tcPr>
            <w:tcW w:w="812"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2047</w:t>
            </w:r>
          </w:p>
        </w:tc>
        <w:tc>
          <w:tcPr>
            <w:tcW w:w="625"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9</w:t>
            </w:r>
          </w:p>
        </w:tc>
        <w:tc>
          <w:tcPr>
            <w:tcW w:w="625"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w:t>
            </w:r>
          </w:p>
        </w:tc>
        <w:tc>
          <w:tcPr>
            <w:tcW w:w="625"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55</w:t>
            </w:r>
          </w:p>
        </w:tc>
        <w:tc>
          <w:tcPr>
            <w:tcW w:w="953"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64</w:t>
            </w:r>
          </w:p>
        </w:tc>
        <w:tc>
          <w:tcPr>
            <w:tcW w:w="1512" w:type="dxa"/>
            <w:tcBorders>
              <w:top w:val="nil"/>
              <w:left w:val="nil"/>
              <w:bottom w:val="single" w:sz="4" w:space="0" w:color="auto"/>
              <w:right w:val="single" w:sz="4" w:space="0" w:color="auto"/>
            </w:tcBorders>
            <w:shd w:val="clear" w:color="auto" w:fill="auto"/>
            <w:noWrap/>
            <w:vAlign w:val="bottom"/>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3,1</w:t>
            </w:r>
          </w:p>
        </w:tc>
      </w:tr>
      <w:tr w:rsidR="00284E23" w:rsidRPr="009637B7" w:rsidTr="00625061">
        <w:trPr>
          <w:trHeight w:val="255"/>
        </w:trPr>
        <w:tc>
          <w:tcPr>
            <w:tcW w:w="707" w:type="dxa"/>
            <w:tcBorders>
              <w:top w:val="nil"/>
              <w:left w:val="single" w:sz="4" w:space="0" w:color="auto"/>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2017</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15</w:t>
            </w:r>
          </w:p>
        </w:tc>
        <w:tc>
          <w:tcPr>
            <w:tcW w:w="624"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22</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135</w:t>
            </w:r>
          </w:p>
        </w:tc>
        <w:tc>
          <w:tcPr>
            <w:tcW w:w="766"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1456</w:t>
            </w:r>
          </w:p>
        </w:tc>
        <w:tc>
          <w:tcPr>
            <w:tcW w:w="8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1628</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xml:space="preserve"> -</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8</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 xml:space="preserve">     -</w:t>
            </w:r>
          </w:p>
        </w:tc>
        <w:tc>
          <w:tcPr>
            <w:tcW w:w="625"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56</w:t>
            </w:r>
          </w:p>
        </w:tc>
        <w:tc>
          <w:tcPr>
            <w:tcW w:w="953"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64</w:t>
            </w:r>
          </w:p>
        </w:tc>
        <w:tc>
          <w:tcPr>
            <w:tcW w:w="1512" w:type="dxa"/>
            <w:tcBorders>
              <w:top w:val="nil"/>
              <w:left w:val="nil"/>
              <w:bottom w:val="single" w:sz="4" w:space="0" w:color="auto"/>
              <w:right w:val="single" w:sz="4" w:space="0" w:color="auto"/>
            </w:tcBorders>
            <w:shd w:val="clear" w:color="auto" w:fill="auto"/>
            <w:noWrap/>
            <w:vAlign w:val="center"/>
            <w:hideMark/>
          </w:tcPr>
          <w:p w:rsidR="00E65E45" w:rsidRPr="009637B7" w:rsidRDefault="00E65E45" w:rsidP="004A2B9B">
            <w:pPr>
              <w:spacing w:after="0" w:line="240" w:lineRule="auto"/>
              <w:jc w:val="center"/>
              <w:rPr>
                <w:rFonts w:ascii="Times New Roman" w:hAnsi="Times New Roman" w:cs="Times New Roman"/>
              </w:rPr>
            </w:pPr>
            <w:r w:rsidRPr="009637B7">
              <w:rPr>
                <w:rFonts w:ascii="Times New Roman" w:hAnsi="Times New Roman" w:cs="Times New Roman"/>
              </w:rPr>
              <w:t>3,8%</w:t>
            </w:r>
          </w:p>
        </w:tc>
      </w:tr>
    </w:tbl>
    <w:p w:rsidR="006739FF" w:rsidRPr="009637B7" w:rsidRDefault="006739FF" w:rsidP="004A2B9B">
      <w:pPr>
        <w:tabs>
          <w:tab w:val="right" w:pos="9751"/>
        </w:tabs>
        <w:autoSpaceDE w:val="0"/>
        <w:autoSpaceDN w:val="0"/>
        <w:adjustRightInd w:val="0"/>
        <w:spacing w:after="0" w:line="240" w:lineRule="auto"/>
        <w:jc w:val="center"/>
        <w:rPr>
          <w:rFonts w:ascii="Times New Roman" w:hAnsi="Times New Roman" w:cs="Times New Roman"/>
        </w:rPr>
      </w:pPr>
    </w:p>
    <w:p w:rsidR="004A2B9B" w:rsidRPr="009637B7" w:rsidRDefault="004A2B9B" w:rsidP="00B92E4A">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B92E4A" w:rsidRPr="009637B7" w:rsidRDefault="00B92E4A" w:rsidP="00B92E4A">
      <w:pPr>
        <w:tabs>
          <w:tab w:val="right" w:pos="9751"/>
        </w:tabs>
        <w:autoSpaceDE w:val="0"/>
        <w:autoSpaceDN w:val="0"/>
        <w:adjustRightInd w:val="0"/>
        <w:spacing w:after="0" w:line="240" w:lineRule="auto"/>
        <w:jc w:val="center"/>
        <w:rPr>
          <w:rFonts w:ascii="Times New Roman" w:hAnsi="Times New Roman" w:cs="Times New Roman"/>
          <w:b/>
          <w:sz w:val="24"/>
          <w:szCs w:val="24"/>
        </w:rPr>
      </w:pPr>
    </w:p>
    <w:p w:rsidR="00B92E4A" w:rsidRPr="00284E23" w:rsidRDefault="00B92E4A" w:rsidP="007D554C">
      <w:pPr>
        <w:tabs>
          <w:tab w:val="right" w:pos="9751"/>
        </w:tabs>
        <w:autoSpaceDE w:val="0"/>
        <w:autoSpaceDN w:val="0"/>
        <w:adjustRightInd w:val="0"/>
        <w:spacing w:after="0" w:line="240" w:lineRule="auto"/>
        <w:jc w:val="center"/>
      </w:pPr>
    </w:p>
    <w:sectPr w:rsidR="00B92E4A" w:rsidRPr="00284E23" w:rsidSect="00FB0A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7F7D" w:rsidRDefault="00C87F7D" w:rsidP="00FB0A17">
      <w:pPr>
        <w:spacing w:after="0" w:line="240" w:lineRule="auto"/>
      </w:pPr>
      <w:r>
        <w:separator/>
      </w:r>
    </w:p>
  </w:endnote>
  <w:endnote w:type="continuationSeparator" w:id="0">
    <w:p w:rsidR="00C87F7D" w:rsidRDefault="00C87F7D" w:rsidP="00FB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CC7" w:rsidRDefault="007E7669">
    <w:pPr>
      <w:pStyle w:val="a3"/>
      <w:jc w:val="right"/>
    </w:pPr>
    <w:r>
      <w:fldChar w:fldCharType="begin"/>
    </w:r>
    <w:r>
      <w:instrText xml:space="preserve"> PAGE   \* MERGEFORMAT </w:instrText>
    </w:r>
    <w:r>
      <w:fldChar w:fldCharType="separate"/>
    </w:r>
    <w:r w:rsidR="004F0FC9">
      <w:rPr>
        <w:noProof/>
      </w:rPr>
      <w:t>2</w:t>
    </w:r>
    <w:r>
      <w:rPr>
        <w:noProof/>
      </w:rPr>
      <w:fldChar w:fldCharType="end"/>
    </w:r>
  </w:p>
  <w:p w:rsidR="009E7CC7" w:rsidRDefault="009E7CC7">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7F7D" w:rsidRDefault="00C87F7D" w:rsidP="00FB0A17">
      <w:pPr>
        <w:spacing w:after="0" w:line="240" w:lineRule="auto"/>
      </w:pPr>
      <w:r>
        <w:separator/>
      </w:r>
    </w:p>
  </w:footnote>
  <w:footnote w:type="continuationSeparator" w:id="0">
    <w:p w:rsidR="00C87F7D" w:rsidRDefault="00C87F7D" w:rsidP="00FB0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D5804"/>
    <w:multiLevelType w:val="hybridMultilevel"/>
    <w:tmpl w:val="CB004DB4"/>
    <w:lvl w:ilvl="0" w:tplc="CC2EB63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C2A3E9E"/>
    <w:multiLevelType w:val="multilevel"/>
    <w:tmpl w:val="ED2EA540"/>
    <w:lvl w:ilvl="0">
      <w:start w:val="1"/>
      <w:numFmt w:val="decimal"/>
      <w:lvlText w:val="%1."/>
      <w:lvlJc w:val="left"/>
      <w:pPr>
        <w:ind w:left="1260" w:hanging="360"/>
      </w:pPr>
      <w:rPr>
        <w:rFonts w:hint="default"/>
      </w:rPr>
    </w:lvl>
    <w:lvl w:ilvl="1">
      <w:start w:val="6"/>
      <w:numFmt w:val="decimal"/>
      <w:isLgl/>
      <w:lvlText w:val="%1.%2."/>
      <w:lvlJc w:val="left"/>
      <w:pPr>
        <w:ind w:left="720" w:hanging="72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700" w:hanging="180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3060" w:hanging="2160"/>
      </w:pPr>
      <w:rPr>
        <w:rFonts w:hint="default"/>
      </w:rPr>
    </w:lvl>
  </w:abstractNum>
  <w:abstractNum w:abstractNumId="2" w15:restartNumberingAfterBreak="0">
    <w:nsid w:val="1CF1093F"/>
    <w:multiLevelType w:val="hybridMultilevel"/>
    <w:tmpl w:val="260E753C"/>
    <w:lvl w:ilvl="0" w:tplc="065A177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297B0E97"/>
    <w:multiLevelType w:val="multilevel"/>
    <w:tmpl w:val="42B0EB44"/>
    <w:lvl w:ilvl="0">
      <w:start w:val="3"/>
      <w:numFmt w:val="decimal"/>
      <w:lvlText w:val="%1."/>
      <w:lvlJc w:val="left"/>
      <w:pPr>
        <w:ind w:left="390" w:hanging="390"/>
      </w:pPr>
      <w:rPr>
        <w:rFonts w:hint="default"/>
      </w:rPr>
    </w:lvl>
    <w:lvl w:ilvl="1">
      <w:start w:val="1"/>
      <w:numFmt w:val="decimal"/>
      <w:lvlText w:val="%1.%2."/>
      <w:lvlJc w:val="left"/>
      <w:pPr>
        <w:ind w:left="736" w:hanging="720"/>
      </w:pPr>
      <w:rPr>
        <w:rFonts w:hint="default"/>
      </w:rPr>
    </w:lvl>
    <w:lvl w:ilvl="2">
      <w:start w:val="1"/>
      <w:numFmt w:val="decimal"/>
      <w:lvlText w:val="%1.%2.%3."/>
      <w:lvlJc w:val="left"/>
      <w:pPr>
        <w:ind w:left="752" w:hanging="720"/>
      </w:pPr>
      <w:rPr>
        <w:rFonts w:hint="default"/>
      </w:rPr>
    </w:lvl>
    <w:lvl w:ilvl="3">
      <w:start w:val="1"/>
      <w:numFmt w:val="decimal"/>
      <w:lvlText w:val="%1.%2.%3.%4."/>
      <w:lvlJc w:val="left"/>
      <w:pPr>
        <w:ind w:left="1128" w:hanging="108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520" w:hanging="144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912" w:hanging="1800"/>
      </w:pPr>
      <w:rPr>
        <w:rFonts w:hint="default"/>
      </w:rPr>
    </w:lvl>
    <w:lvl w:ilvl="8">
      <w:start w:val="1"/>
      <w:numFmt w:val="decimal"/>
      <w:lvlText w:val="%1.%2.%3.%4.%5.%6.%7.%8.%9."/>
      <w:lvlJc w:val="left"/>
      <w:pPr>
        <w:ind w:left="1928" w:hanging="1800"/>
      </w:pPr>
      <w:rPr>
        <w:rFonts w:hint="default"/>
      </w:rPr>
    </w:lvl>
  </w:abstractNum>
  <w:abstractNum w:abstractNumId="4" w15:restartNumberingAfterBreak="0">
    <w:nsid w:val="351E0F55"/>
    <w:multiLevelType w:val="hybridMultilevel"/>
    <w:tmpl w:val="A782B8B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1D2EBC"/>
    <w:multiLevelType w:val="multilevel"/>
    <w:tmpl w:val="12C8F16C"/>
    <w:lvl w:ilvl="0">
      <w:start w:val="3"/>
      <w:numFmt w:val="decimal"/>
      <w:lvlText w:val="%1."/>
      <w:lvlJc w:val="left"/>
      <w:pPr>
        <w:ind w:left="450" w:hanging="45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466025F9"/>
    <w:multiLevelType w:val="hybridMultilevel"/>
    <w:tmpl w:val="0CD6A896"/>
    <w:lvl w:ilvl="0" w:tplc="0419000F">
      <w:start w:val="1"/>
      <w:numFmt w:val="decimal"/>
      <w:lvlText w:val="%1."/>
      <w:lvlJc w:val="left"/>
      <w:pPr>
        <w:tabs>
          <w:tab w:val="num" w:pos="845"/>
        </w:tabs>
        <w:ind w:left="8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4702567F"/>
    <w:multiLevelType w:val="multilevel"/>
    <w:tmpl w:val="22C8A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A2072E"/>
    <w:multiLevelType w:val="multilevel"/>
    <w:tmpl w:val="3704E232"/>
    <w:lvl w:ilvl="0">
      <w:start w:val="3"/>
      <w:numFmt w:val="upperRoman"/>
      <w:lvlText w:val="%1."/>
      <w:lvlJc w:val="left"/>
      <w:pPr>
        <w:tabs>
          <w:tab w:val="num" w:pos="1080"/>
        </w:tabs>
        <w:ind w:left="1080" w:hanging="72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15:restartNumberingAfterBreak="0">
    <w:nsid w:val="4A9C11F2"/>
    <w:multiLevelType w:val="multilevel"/>
    <w:tmpl w:val="641C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1A7A39"/>
    <w:multiLevelType w:val="multilevel"/>
    <w:tmpl w:val="42B0EB44"/>
    <w:lvl w:ilvl="0">
      <w:start w:val="3"/>
      <w:numFmt w:val="decimal"/>
      <w:lvlText w:val="%1."/>
      <w:lvlJc w:val="left"/>
      <w:pPr>
        <w:ind w:left="390" w:hanging="390"/>
      </w:pPr>
      <w:rPr>
        <w:rFonts w:hint="default"/>
      </w:rPr>
    </w:lvl>
    <w:lvl w:ilvl="1">
      <w:start w:val="1"/>
      <w:numFmt w:val="decimal"/>
      <w:lvlText w:val="%1.%2."/>
      <w:lvlJc w:val="left"/>
      <w:pPr>
        <w:ind w:left="736" w:hanging="720"/>
      </w:pPr>
      <w:rPr>
        <w:rFonts w:hint="default"/>
      </w:rPr>
    </w:lvl>
    <w:lvl w:ilvl="2">
      <w:start w:val="1"/>
      <w:numFmt w:val="decimal"/>
      <w:lvlText w:val="%1.%2.%3."/>
      <w:lvlJc w:val="left"/>
      <w:pPr>
        <w:ind w:left="752" w:hanging="720"/>
      </w:pPr>
      <w:rPr>
        <w:rFonts w:hint="default"/>
      </w:rPr>
    </w:lvl>
    <w:lvl w:ilvl="3">
      <w:start w:val="1"/>
      <w:numFmt w:val="decimal"/>
      <w:lvlText w:val="%1.%2.%3.%4."/>
      <w:lvlJc w:val="left"/>
      <w:pPr>
        <w:ind w:left="1128" w:hanging="1080"/>
      </w:pPr>
      <w:rPr>
        <w:rFonts w:hint="default"/>
      </w:rPr>
    </w:lvl>
    <w:lvl w:ilvl="4">
      <w:start w:val="1"/>
      <w:numFmt w:val="decimal"/>
      <w:lvlText w:val="%1.%2.%3.%4.%5."/>
      <w:lvlJc w:val="left"/>
      <w:pPr>
        <w:ind w:left="1144" w:hanging="1080"/>
      </w:pPr>
      <w:rPr>
        <w:rFonts w:hint="default"/>
      </w:rPr>
    </w:lvl>
    <w:lvl w:ilvl="5">
      <w:start w:val="1"/>
      <w:numFmt w:val="decimal"/>
      <w:lvlText w:val="%1.%2.%3.%4.%5.%6."/>
      <w:lvlJc w:val="left"/>
      <w:pPr>
        <w:ind w:left="1520" w:hanging="1440"/>
      </w:pPr>
      <w:rPr>
        <w:rFonts w:hint="default"/>
      </w:rPr>
    </w:lvl>
    <w:lvl w:ilvl="6">
      <w:start w:val="1"/>
      <w:numFmt w:val="decimal"/>
      <w:lvlText w:val="%1.%2.%3.%4.%5.%6.%7."/>
      <w:lvlJc w:val="left"/>
      <w:pPr>
        <w:ind w:left="1536" w:hanging="1440"/>
      </w:pPr>
      <w:rPr>
        <w:rFonts w:hint="default"/>
      </w:rPr>
    </w:lvl>
    <w:lvl w:ilvl="7">
      <w:start w:val="1"/>
      <w:numFmt w:val="decimal"/>
      <w:lvlText w:val="%1.%2.%3.%4.%5.%6.%7.%8."/>
      <w:lvlJc w:val="left"/>
      <w:pPr>
        <w:ind w:left="1912" w:hanging="1800"/>
      </w:pPr>
      <w:rPr>
        <w:rFonts w:hint="default"/>
      </w:rPr>
    </w:lvl>
    <w:lvl w:ilvl="8">
      <w:start w:val="1"/>
      <w:numFmt w:val="decimal"/>
      <w:lvlText w:val="%1.%2.%3.%4.%5.%6.%7.%8.%9."/>
      <w:lvlJc w:val="left"/>
      <w:pPr>
        <w:ind w:left="1928" w:hanging="1800"/>
      </w:pPr>
      <w:rPr>
        <w:rFonts w:hint="default"/>
      </w:rPr>
    </w:lvl>
  </w:abstractNum>
  <w:abstractNum w:abstractNumId="11" w15:restartNumberingAfterBreak="0">
    <w:nsid w:val="5A6115B2"/>
    <w:multiLevelType w:val="hybridMultilevel"/>
    <w:tmpl w:val="F3303498"/>
    <w:lvl w:ilvl="0" w:tplc="0419000F">
      <w:start w:val="1"/>
      <w:numFmt w:val="decimal"/>
      <w:lvlText w:val="%1."/>
      <w:lvlJc w:val="left"/>
      <w:pPr>
        <w:tabs>
          <w:tab w:val="num" w:pos="1425"/>
        </w:tabs>
        <w:ind w:left="1425" w:hanging="360"/>
      </w:pPr>
    </w:lvl>
    <w:lvl w:ilvl="1" w:tplc="04190019" w:tentative="1">
      <w:start w:val="1"/>
      <w:numFmt w:val="lowerLetter"/>
      <w:lvlText w:val="%2."/>
      <w:lvlJc w:val="left"/>
      <w:pPr>
        <w:tabs>
          <w:tab w:val="num" w:pos="2145"/>
        </w:tabs>
        <w:ind w:left="2145" w:hanging="360"/>
      </w:pPr>
    </w:lvl>
    <w:lvl w:ilvl="2" w:tplc="0419001B" w:tentative="1">
      <w:start w:val="1"/>
      <w:numFmt w:val="lowerRoman"/>
      <w:lvlText w:val="%3."/>
      <w:lvlJc w:val="right"/>
      <w:pPr>
        <w:tabs>
          <w:tab w:val="num" w:pos="2865"/>
        </w:tabs>
        <w:ind w:left="2865" w:hanging="180"/>
      </w:pPr>
    </w:lvl>
    <w:lvl w:ilvl="3" w:tplc="0419000F" w:tentative="1">
      <w:start w:val="1"/>
      <w:numFmt w:val="decimal"/>
      <w:lvlText w:val="%4."/>
      <w:lvlJc w:val="left"/>
      <w:pPr>
        <w:tabs>
          <w:tab w:val="num" w:pos="3585"/>
        </w:tabs>
        <w:ind w:left="3585" w:hanging="360"/>
      </w:pPr>
    </w:lvl>
    <w:lvl w:ilvl="4" w:tplc="04190019" w:tentative="1">
      <w:start w:val="1"/>
      <w:numFmt w:val="lowerLetter"/>
      <w:lvlText w:val="%5."/>
      <w:lvlJc w:val="left"/>
      <w:pPr>
        <w:tabs>
          <w:tab w:val="num" w:pos="4305"/>
        </w:tabs>
        <w:ind w:left="4305" w:hanging="360"/>
      </w:pPr>
    </w:lvl>
    <w:lvl w:ilvl="5" w:tplc="0419001B" w:tentative="1">
      <w:start w:val="1"/>
      <w:numFmt w:val="lowerRoman"/>
      <w:lvlText w:val="%6."/>
      <w:lvlJc w:val="right"/>
      <w:pPr>
        <w:tabs>
          <w:tab w:val="num" w:pos="5025"/>
        </w:tabs>
        <w:ind w:left="5025" w:hanging="180"/>
      </w:pPr>
    </w:lvl>
    <w:lvl w:ilvl="6" w:tplc="0419000F" w:tentative="1">
      <w:start w:val="1"/>
      <w:numFmt w:val="decimal"/>
      <w:lvlText w:val="%7."/>
      <w:lvlJc w:val="left"/>
      <w:pPr>
        <w:tabs>
          <w:tab w:val="num" w:pos="5745"/>
        </w:tabs>
        <w:ind w:left="5745" w:hanging="360"/>
      </w:pPr>
    </w:lvl>
    <w:lvl w:ilvl="7" w:tplc="04190019" w:tentative="1">
      <w:start w:val="1"/>
      <w:numFmt w:val="lowerLetter"/>
      <w:lvlText w:val="%8."/>
      <w:lvlJc w:val="left"/>
      <w:pPr>
        <w:tabs>
          <w:tab w:val="num" w:pos="6465"/>
        </w:tabs>
        <w:ind w:left="6465" w:hanging="360"/>
      </w:pPr>
    </w:lvl>
    <w:lvl w:ilvl="8" w:tplc="0419001B" w:tentative="1">
      <w:start w:val="1"/>
      <w:numFmt w:val="lowerRoman"/>
      <w:lvlText w:val="%9."/>
      <w:lvlJc w:val="right"/>
      <w:pPr>
        <w:tabs>
          <w:tab w:val="num" w:pos="7185"/>
        </w:tabs>
        <w:ind w:left="7185" w:hanging="180"/>
      </w:pPr>
    </w:lvl>
  </w:abstractNum>
  <w:abstractNum w:abstractNumId="12" w15:restartNumberingAfterBreak="0">
    <w:nsid w:val="5F022C53"/>
    <w:multiLevelType w:val="hybridMultilevel"/>
    <w:tmpl w:val="1BC225E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394"/>
        </w:tabs>
        <w:ind w:left="1394" w:hanging="360"/>
      </w:pPr>
    </w:lvl>
    <w:lvl w:ilvl="2" w:tplc="0419001B" w:tentative="1">
      <w:start w:val="1"/>
      <w:numFmt w:val="lowerRoman"/>
      <w:lvlText w:val="%3."/>
      <w:lvlJc w:val="right"/>
      <w:pPr>
        <w:tabs>
          <w:tab w:val="num" w:pos="2114"/>
        </w:tabs>
        <w:ind w:left="2114" w:hanging="180"/>
      </w:pPr>
    </w:lvl>
    <w:lvl w:ilvl="3" w:tplc="0419000F" w:tentative="1">
      <w:start w:val="1"/>
      <w:numFmt w:val="decimal"/>
      <w:lvlText w:val="%4."/>
      <w:lvlJc w:val="left"/>
      <w:pPr>
        <w:tabs>
          <w:tab w:val="num" w:pos="2834"/>
        </w:tabs>
        <w:ind w:left="2834" w:hanging="360"/>
      </w:pPr>
    </w:lvl>
    <w:lvl w:ilvl="4" w:tplc="04190019" w:tentative="1">
      <w:start w:val="1"/>
      <w:numFmt w:val="lowerLetter"/>
      <w:lvlText w:val="%5."/>
      <w:lvlJc w:val="left"/>
      <w:pPr>
        <w:tabs>
          <w:tab w:val="num" w:pos="3554"/>
        </w:tabs>
        <w:ind w:left="3554" w:hanging="360"/>
      </w:pPr>
    </w:lvl>
    <w:lvl w:ilvl="5" w:tplc="0419001B" w:tentative="1">
      <w:start w:val="1"/>
      <w:numFmt w:val="lowerRoman"/>
      <w:lvlText w:val="%6."/>
      <w:lvlJc w:val="right"/>
      <w:pPr>
        <w:tabs>
          <w:tab w:val="num" w:pos="4274"/>
        </w:tabs>
        <w:ind w:left="4274" w:hanging="180"/>
      </w:pPr>
    </w:lvl>
    <w:lvl w:ilvl="6" w:tplc="0419000F" w:tentative="1">
      <w:start w:val="1"/>
      <w:numFmt w:val="decimal"/>
      <w:lvlText w:val="%7."/>
      <w:lvlJc w:val="left"/>
      <w:pPr>
        <w:tabs>
          <w:tab w:val="num" w:pos="4994"/>
        </w:tabs>
        <w:ind w:left="4994" w:hanging="360"/>
      </w:pPr>
    </w:lvl>
    <w:lvl w:ilvl="7" w:tplc="04190019" w:tentative="1">
      <w:start w:val="1"/>
      <w:numFmt w:val="lowerLetter"/>
      <w:lvlText w:val="%8."/>
      <w:lvlJc w:val="left"/>
      <w:pPr>
        <w:tabs>
          <w:tab w:val="num" w:pos="5714"/>
        </w:tabs>
        <w:ind w:left="5714" w:hanging="360"/>
      </w:pPr>
    </w:lvl>
    <w:lvl w:ilvl="8" w:tplc="0419001B" w:tentative="1">
      <w:start w:val="1"/>
      <w:numFmt w:val="lowerRoman"/>
      <w:lvlText w:val="%9."/>
      <w:lvlJc w:val="right"/>
      <w:pPr>
        <w:tabs>
          <w:tab w:val="num" w:pos="6434"/>
        </w:tabs>
        <w:ind w:left="6434" w:hanging="180"/>
      </w:pPr>
    </w:lvl>
  </w:abstractNum>
  <w:abstractNum w:abstractNumId="13" w15:restartNumberingAfterBreak="0">
    <w:nsid w:val="62E24996"/>
    <w:multiLevelType w:val="hybridMultilevel"/>
    <w:tmpl w:val="F3D4ADEC"/>
    <w:lvl w:ilvl="0" w:tplc="51F0BA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3"/>
  </w:num>
  <w:num w:numId="5">
    <w:abstractNumId w:val="9"/>
  </w:num>
  <w:num w:numId="6">
    <w:abstractNumId w:val="7"/>
  </w:num>
  <w:num w:numId="7">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0"/>
  </w:num>
  <w:num w:numId="10">
    <w:abstractNumId w:val="2"/>
  </w:num>
  <w:num w:numId="11">
    <w:abstractNumId w:val="11"/>
  </w:num>
  <w:num w:numId="12">
    <w:abstractNumId w:val="5"/>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7579D"/>
    <w:rsid w:val="00023907"/>
    <w:rsid w:val="000D2BBC"/>
    <w:rsid w:val="001231AB"/>
    <w:rsid w:val="001C6F24"/>
    <w:rsid w:val="0020196C"/>
    <w:rsid w:val="002803A6"/>
    <w:rsid w:val="00284E23"/>
    <w:rsid w:val="002953E2"/>
    <w:rsid w:val="0031084A"/>
    <w:rsid w:val="00334656"/>
    <w:rsid w:val="003362C2"/>
    <w:rsid w:val="00376270"/>
    <w:rsid w:val="00396C5F"/>
    <w:rsid w:val="003D58FB"/>
    <w:rsid w:val="003E107A"/>
    <w:rsid w:val="003E2B8F"/>
    <w:rsid w:val="00404ECD"/>
    <w:rsid w:val="00443D0D"/>
    <w:rsid w:val="00452BA4"/>
    <w:rsid w:val="00457686"/>
    <w:rsid w:val="00465D6D"/>
    <w:rsid w:val="00482E9D"/>
    <w:rsid w:val="004A2B9B"/>
    <w:rsid w:val="004D2D6B"/>
    <w:rsid w:val="004F0FC9"/>
    <w:rsid w:val="00507147"/>
    <w:rsid w:val="00510B62"/>
    <w:rsid w:val="00562870"/>
    <w:rsid w:val="005902B1"/>
    <w:rsid w:val="00591ED3"/>
    <w:rsid w:val="005C0D21"/>
    <w:rsid w:val="00612984"/>
    <w:rsid w:val="00625061"/>
    <w:rsid w:val="006739FF"/>
    <w:rsid w:val="007120D6"/>
    <w:rsid w:val="007A4248"/>
    <w:rsid w:val="007A6C69"/>
    <w:rsid w:val="007D554C"/>
    <w:rsid w:val="007D712B"/>
    <w:rsid w:val="007E7669"/>
    <w:rsid w:val="00806E96"/>
    <w:rsid w:val="0087579D"/>
    <w:rsid w:val="008817D1"/>
    <w:rsid w:val="0089411E"/>
    <w:rsid w:val="009637B7"/>
    <w:rsid w:val="00967B32"/>
    <w:rsid w:val="00985203"/>
    <w:rsid w:val="009C63D5"/>
    <w:rsid w:val="009E7CC7"/>
    <w:rsid w:val="00A33018"/>
    <w:rsid w:val="00A56700"/>
    <w:rsid w:val="00B5536D"/>
    <w:rsid w:val="00B67E97"/>
    <w:rsid w:val="00B92E4A"/>
    <w:rsid w:val="00BF5214"/>
    <w:rsid w:val="00C02A98"/>
    <w:rsid w:val="00C87F7D"/>
    <w:rsid w:val="00CA17AD"/>
    <w:rsid w:val="00CA5C41"/>
    <w:rsid w:val="00CD5647"/>
    <w:rsid w:val="00D47AB9"/>
    <w:rsid w:val="00DD1477"/>
    <w:rsid w:val="00E133D0"/>
    <w:rsid w:val="00E30522"/>
    <w:rsid w:val="00E60888"/>
    <w:rsid w:val="00E65E45"/>
    <w:rsid w:val="00E72C20"/>
    <w:rsid w:val="00EB0CA6"/>
    <w:rsid w:val="00EF5A2B"/>
    <w:rsid w:val="00F25531"/>
    <w:rsid w:val="00F31A21"/>
    <w:rsid w:val="00F3398B"/>
    <w:rsid w:val="00F3412C"/>
    <w:rsid w:val="00F710BD"/>
    <w:rsid w:val="00FA418A"/>
    <w:rsid w:val="00FB0A17"/>
    <w:rsid w:val="00FE4A8A"/>
    <w:rsid w:val="00FF6CE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A80B5F"/>
  <w15:docId w15:val="{B6062A57-66A4-49A3-97CB-87D2A930C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0A17"/>
  </w:style>
  <w:style w:type="paragraph" w:styleId="1">
    <w:name w:val="heading 1"/>
    <w:basedOn w:val="a"/>
    <w:next w:val="a"/>
    <w:link w:val="10"/>
    <w:qFormat/>
    <w:rsid w:val="0087579D"/>
    <w:pPr>
      <w:keepNext/>
      <w:spacing w:after="0" w:line="240" w:lineRule="auto"/>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79D"/>
    <w:rPr>
      <w:rFonts w:ascii="Times New Roman" w:eastAsia="Times New Roman" w:hAnsi="Times New Roman" w:cs="Times New Roman"/>
      <w:b/>
      <w:bCs/>
      <w:sz w:val="24"/>
      <w:szCs w:val="24"/>
    </w:rPr>
  </w:style>
  <w:style w:type="paragraph" w:styleId="a3">
    <w:name w:val="footer"/>
    <w:basedOn w:val="a"/>
    <w:link w:val="a4"/>
    <w:uiPriority w:val="99"/>
    <w:unhideWhenUsed/>
    <w:rsid w:val="00334656"/>
    <w:pPr>
      <w:tabs>
        <w:tab w:val="center" w:pos="4677"/>
        <w:tab w:val="right" w:pos="9355"/>
      </w:tabs>
    </w:pPr>
    <w:rPr>
      <w:rFonts w:ascii="Calibri" w:eastAsia="Times New Roman" w:hAnsi="Calibri" w:cs="Times New Roman"/>
    </w:rPr>
  </w:style>
  <w:style w:type="character" w:customStyle="1" w:styleId="a4">
    <w:name w:val="Нижний колонтитул Знак"/>
    <w:basedOn w:val="a0"/>
    <w:link w:val="a3"/>
    <w:uiPriority w:val="99"/>
    <w:rsid w:val="00334656"/>
    <w:rPr>
      <w:rFonts w:ascii="Calibri" w:eastAsia="Times New Roman" w:hAnsi="Calibri" w:cs="Times New Roman"/>
    </w:rPr>
  </w:style>
  <w:style w:type="paragraph" w:customStyle="1" w:styleId="11">
    <w:name w:val="Стиль1"/>
    <w:basedOn w:val="a"/>
    <w:rsid w:val="009C63D5"/>
    <w:pPr>
      <w:spacing w:after="0" w:line="240" w:lineRule="auto"/>
    </w:pPr>
    <w:rPr>
      <w:rFonts w:ascii="Times New Roman" w:eastAsia="Times New Roman" w:hAnsi="Times New Roman" w:cs="Times New Roman"/>
      <w:sz w:val="24"/>
      <w:szCs w:val="20"/>
    </w:rPr>
  </w:style>
  <w:style w:type="paragraph" w:styleId="a5">
    <w:name w:val="Balloon Text"/>
    <w:basedOn w:val="a"/>
    <w:link w:val="a6"/>
    <w:uiPriority w:val="99"/>
    <w:semiHidden/>
    <w:unhideWhenUsed/>
    <w:rsid w:val="00396C5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96C5F"/>
    <w:rPr>
      <w:rFonts w:ascii="Tahoma" w:hAnsi="Tahoma" w:cs="Tahoma"/>
      <w:sz w:val="16"/>
      <w:szCs w:val="16"/>
    </w:rPr>
  </w:style>
  <w:style w:type="paragraph" w:styleId="a7">
    <w:name w:val="Normal (Web)"/>
    <w:basedOn w:val="a"/>
    <w:uiPriority w:val="99"/>
    <w:unhideWhenUsed/>
    <w:rsid w:val="007D712B"/>
    <w:pPr>
      <w:spacing w:before="100" w:beforeAutospacing="1" w:after="100" w:afterAutospacing="1" w:line="240" w:lineRule="auto"/>
    </w:pPr>
    <w:rPr>
      <w:rFonts w:ascii="Times New Roman" w:eastAsia="Times New Roman" w:hAnsi="Times New Roman" w:cs="Times New Roman"/>
      <w:sz w:val="24"/>
      <w:szCs w:val="24"/>
    </w:rPr>
  </w:style>
  <w:style w:type="paragraph" w:styleId="3">
    <w:name w:val="Body Text Indent 3"/>
    <w:basedOn w:val="a"/>
    <w:link w:val="30"/>
    <w:uiPriority w:val="99"/>
    <w:unhideWhenUsed/>
    <w:rsid w:val="007D712B"/>
    <w:pPr>
      <w:spacing w:after="120"/>
      <w:ind w:left="283"/>
    </w:pPr>
    <w:rPr>
      <w:rFonts w:ascii="Calibri" w:eastAsia="Times New Roman" w:hAnsi="Calibri" w:cs="Times New Roman"/>
      <w:sz w:val="16"/>
      <w:szCs w:val="16"/>
    </w:rPr>
  </w:style>
  <w:style w:type="character" w:customStyle="1" w:styleId="30">
    <w:name w:val="Основной текст с отступом 3 Знак"/>
    <w:basedOn w:val="a0"/>
    <w:link w:val="3"/>
    <w:uiPriority w:val="99"/>
    <w:rsid w:val="007D712B"/>
    <w:rPr>
      <w:rFonts w:ascii="Calibri" w:eastAsia="Times New Roman" w:hAnsi="Calibri" w:cs="Times New Roman"/>
      <w:sz w:val="16"/>
      <w:szCs w:val="16"/>
    </w:rPr>
  </w:style>
  <w:style w:type="paragraph" w:styleId="a8">
    <w:name w:val="List Paragraph"/>
    <w:basedOn w:val="a"/>
    <w:uiPriority w:val="34"/>
    <w:qFormat/>
    <w:rsid w:val="007D712B"/>
    <w:pPr>
      <w:ind w:left="720"/>
      <w:contextualSpacing/>
    </w:pPr>
    <w:rPr>
      <w:rFonts w:ascii="Times New Roman" w:eastAsia="Calibri" w:hAnsi="Times New Roman" w:cs="Times New Roman"/>
      <w:sz w:val="28"/>
      <w:szCs w:val="28"/>
      <w:lang w:eastAsia="en-US"/>
    </w:rPr>
  </w:style>
  <w:style w:type="character" w:styleId="a9">
    <w:name w:val="Hyperlink"/>
    <w:uiPriority w:val="99"/>
    <w:semiHidden/>
    <w:unhideWhenUsed/>
    <w:rsid w:val="00CA5C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3078">
      <w:bodyDiv w:val="1"/>
      <w:marLeft w:val="0"/>
      <w:marRight w:val="0"/>
      <w:marTop w:val="0"/>
      <w:marBottom w:val="0"/>
      <w:divBdr>
        <w:top w:val="none" w:sz="0" w:space="0" w:color="auto"/>
        <w:left w:val="none" w:sz="0" w:space="0" w:color="auto"/>
        <w:bottom w:val="none" w:sz="0" w:space="0" w:color="auto"/>
        <w:right w:val="none" w:sz="0" w:space="0" w:color="auto"/>
      </w:divBdr>
    </w:div>
    <w:div w:id="1039279213">
      <w:bodyDiv w:val="1"/>
      <w:marLeft w:val="0"/>
      <w:marRight w:val="0"/>
      <w:marTop w:val="0"/>
      <w:marBottom w:val="0"/>
      <w:divBdr>
        <w:top w:val="none" w:sz="0" w:space="0" w:color="auto"/>
        <w:left w:val="none" w:sz="0" w:space="0" w:color="auto"/>
        <w:bottom w:val="none" w:sz="0" w:space="0" w:color="auto"/>
        <w:right w:val="none" w:sz="0" w:space="0" w:color="auto"/>
      </w:divBdr>
    </w:div>
    <w:div w:id="119422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21" Type="http://schemas.openxmlformats.org/officeDocument/2006/relationships/chart" Target="charts/chart11.xml"/><Relationship Id="rId34" Type="http://schemas.openxmlformats.org/officeDocument/2006/relationships/chart" Target="charts/chart24.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3.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chart" Target="charts/chart10.xml"/><Relationship Id="rId29" Type="http://schemas.openxmlformats.org/officeDocument/2006/relationships/chart" Target="charts/chart1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22.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chart" Target="charts/chart18.xml"/><Relationship Id="rId36"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hart" Target="charts/chart9.xml"/><Relationship Id="rId31" Type="http://schemas.openxmlformats.org/officeDocument/2006/relationships/chart" Target="charts/chart2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chart" Target="charts/chart20.xml"/><Relationship Id="rId35" Type="http://schemas.openxmlformats.org/officeDocument/2006/relationships/hyperlink" Target="http://project.1september.ru/" TargetMode="Externa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55;&#1086;&#1088;&#1099;&#1074;&#1099;%20&#1076;&#1080;&#1072;&#1075;.3.1-3.19.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garifullinaRK\Documents\&#1041;&#1072;&#1083;&#1072;&#1085;&#1089;&#1086;&#1074;&#1099;&#1077;\&#1041;&#1072;&#1083;&#1072;&#1085;&#1089;&#1086;&#1074;&#1072;&#1103;%202017&#1075;\&#1055;&#1086;&#1088;&#1099;&#1074;&#1099;%20&#1076;&#1080;&#1072;&#1075;.3.1-3.19.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55;&#1086;&#1088;&#1099;&#1074;&#1099;%20&#1076;&#1080;&#1072;&#1075;.3.1-3.19.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55;&#1086;&#1088;&#1099;&#1074;&#1099;%20&#1076;&#1080;&#1072;&#1075;.3.1-3.19.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55;&#1086;&#1088;&#1099;&#1074;&#1099;%20&#1076;&#1080;&#1072;&#1075;.3.1-3.19.xls"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55;&#1086;&#1088;&#1099;&#1074;&#1099;%20&#1076;&#1080;&#1072;&#1075;.3.1-3.19.xls"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6&#1075;\&#1044;&#1080;&#1085;&#1072;&#1084;&#1080;&#1082;&#1072;%20&#1088;&#1077;&#1084;&#1086;&#1085;&#1090;&#1072;%20&#1085;&#1077;&#1092;&#1090;&#1077;&#1087;&#1088;&#1086;&#1074;&#1086;&#1076;&#1086;&#1074;.xls"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55;&#1086;&#1088;&#1099;&#1074;&#1099;%20&#1076;&#1080;&#1072;&#1075;.3.1-3.19.xls"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4.xml"/></Relationships>
</file>

<file path=word/charts/_rels/chart15.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5.xml"/></Relationships>
</file>

<file path=word/charts/_rels/chart16.xml.rels><?xml version="1.0" encoding="UTF-8" standalone="yes"?>
<Relationships xmlns="http://schemas.openxmlformats.org/package/2006/relationships"><Relationship Id="rId2" Type="http://schemas.openxmlformats.org/officeDocument/2006/relationships/oleObject" Target="file:///C:\Users\guzairovEZ\Desktop\&#1041;&#1072;&#1083;&#1072;&#1085;&#1089;&#1086;&#1074;&#1072;&#1103;%202018\&#1089;&#1074;&#1077;&#1078;&#1077;&#1077;\&#1055;&#1086;&#1088;&#1099;&#1074;&#1099;%20&#1076;&#1080;&#1072;&#1075;.3.1-3.19(1).xls" TargetMode="External"/><Relationship Id="rId1" Type="http://schemas.openxmlformats.org/officeDocument/2006/relationships/themeOverride" Target="../theme/themeOverride16.xml"/></Relationships>
</file>

<file path=word/charts/_rels/chart17.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7.xml"/></Relationships>
</file>

<file path=word/charts/_rels/chart18.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44;&#1080;&#1072;&#1075;&#1088;.&#8470;3.20-3.31,%20&#1090;&#1072;&#1073;&#1083;.%203.4-3.8.xls" TargetMode="External"/><Relationship Id="rId1" Type="http://schemas.openxmlformats.org/officeDocument/2006/relationships/themeOverride" Target="../theme/themeOverride18.xml"/></Relationships>
</file>

<file path=word/charts/_rels/chart19.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Users\garifullinaRK\Documents\&#1041;&#1072;&#1083;&#1072;&#1085;&#1089;&#1086;&#1074;&#1099;&#1077;\&#1041;&#1072;&#1083;&#1072;&#1085;&#1089;&#1086;&#1074;&#1072;&#1103;%202016&#1075;\&#1044;&#1080;&#1072;&#1075;&#1088;&#1072;&#1084;&#1084;&#1099;%20&#1087;&#1086;%20&#1048;&#1050;%20&#8470;%203.21%20&#1082;&#1084;&#1073;&#1072;&#1083;&#1072;&#1085;&#1089;&#1086;&#1074;&#1086;&#1081;.xls" TargetMode="External"/><Relationship Id="rId1" Type="http://schemas.openxmlformats.org/officeDocument/2006/relationships/themeOverride" Target="../theme/themeOverride19.xml"/></Relationships>
</file>

<file path=word/charts/_rels/chart20.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44;&#1080;&#1072;&#1075;&#1088;.&#8470;3.20-3.31,%20&#1090;&#1072;&#1073;&#1083;.%203.4-3.8.xls" TargetMode="External"/><Relationship Id="rId1" Type="http://schemas.openxmlformats.org/officeDocument/2006/relationships/themeOverride" Target="../theme/themeOverride20.xml"/></Relationships>
</file>

<file path=word/charts/_rels/chart21.xml.rels><?xml version="1.0" encoding="UTF-8" standalone="yes"?>
<Relationships xmlns="http://schemas.openxmlformats.org/package/2006/relationships"><Relationship Id="rId2" Type="http://schemas.openxmlformats.org/officeDocument/2006/relationships/oleObject" Target="file:///C:\Users\fazylovRR\Desktop\&#1041;&#1072;&#1083;&#1072;&#1085;&#1089;&#1086;&#1074;&#1072;&#1103;%202016\&#1044;&#1080;&#1072;&#1075;&#1088;.&#8470;3.20-3.31,%20&#1090;&#1072;&#1073;&#1083;.%203.4-3.8.xls" TargetMode="External"/><Relationship Id="rId1" Type="http://schemas.openxmlformats.org/officeDocument/2006/relationships/themeOverride" Target="../theme/themeOverride21.xml"/></Relationships>
</file>

<file path=word/charts/_rels/chart22.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44;&#1080;&#1072;&#1075;&#1088;.&#8470;3.20-3.31,%20&#1090;&#1072;&#1073;&#1083;.%203.4-3.8.xls" TargetMode="External"/><Relationship Id="rId1" Type="http://schemas.openxmlformats.org/officeDocument/2006/relationships/themeOverride" Target="../theme/themeOverride22.xml"/></Relationships>
</file>

<file path=word/charts/_rels/chart23.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44;&#1080;&#1072;&#1075;&#1088;.&#8470;3.20-3.31,%20&#1090;&#1072;&#1073;&#1083;.%203.4-3.8.xls" TargetMode="External"/><Relationship Id="rId1" Type="http://schemas.openxmlformats.org/officeDocument/2006/relationships/themeOverride" Target="../theme/themeOverride23.xml"/></Relationships>
</file>

<file path=word/charts/_rels/chart24.xml.rels><?xml version="1.0" encoding="UTF-8" standalone="yes"?>
<Relationships xmlns="http://schemas.openxmlformats.org/package/2006/relationships"><Relationship Id="rId2" Type="http://schemas.openxmlformats.org/officeDocument/2006/relationships/oleObject" Target="file:///C:\Users\garifullinaRK\Documents\&#1041;&#1072;&#1083;&#1072;&#1085;&#1089;&#1086;&#1074;&#1099;&#1077;\&#1041;&#1072;&#1083;&#1072;&#1085;&#1089;&#1086;&#1074;&#1072;&#1103;%202017&#1075;\&#1044;&#1080;&#1072;&#1075;&#1088;.&#8470;3.20-3.31,%20&#1090;&#1072;&#1073;&#1083;.%203.4-3.8%20&#1056;&#1072;&#1080;&#1089;.xls" TargetMode="External"/><Relationship Id="rId1" Type="http://schemas.openxmlformats.org/officeDocument/2006/relationships/themeOverride" Target="../theme/themeOverrid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a:latin typeface="Times New Roman" panose="02020603050405020304" pitchFamily="18" charset="0"/>
                <a:cs typeface="Times New Roman" panose="02020603050405020304" pitchFamily="18" charset="0"/>
              </a:defRPr>
            </a:pPr>
            <a:r>
              <a:rPr lang="ru-RU" sz="1400">
                <a:latin typeface="Times New Roman" panose="02020603050405020304" pitchFamily="18" charset="0"/>
                <a:cs typeface="Times New Roman" panose="02020603050405020304" pitchFamily="18" charset="0"/>
              </a:rPr>
              <a:t>Количество порывов в системе</a:t>
            </a:r>
            <a:r>
              <a:rPr lang="ru-RU" sz="1400" baseline="0">
                <a:latin typeface="Times New Roman" panose="02020603050405020304" pitchFamily="18" charset="0"/>
                <a:cs typeface="Times New Roman" panose="02020603050405020304" pitchFamily="18" charset="0"/>
              </a:rPr>
              <a:t> нефтесбора </a:t>
            </a:r>
            <a:r>
              <a:rPr lang="ru-RU" sz="1400">
                <a:latin typeface="Times New Roman" panose="02020603050405020304" pitchFamily="18" charset="0"/>
                <a:cs typeface="Times New Roman" panose="02020603050405020304" pitchFamily="18" charset="0"/>
              </a:rPr>
              <a:t>НГДУ "Джалильнефть", шт</a:t>
            </a:r>
          </a:p>
        </c:rich>
      </c:tx>
      <c:overlay val="0"/>
    </c:title>
    <c:autoTitleDeleted val="0"/>
    <c:plotArea>
      <c:layout>
        <c:manualLayout>
          <c:layoutTarget val="inner"/>
          <c:xMode val="edge"/>
          <c:yMode val="edge"/>
          <c:x val="5.9164636794501554E-2"/>
          <c:y val="9.5495495495495797E-2"/>
          <c:w val="0.92644687399686554"/>
          <c:h val="0.79778858723740609"/>
        </c:manualLayout>
      </c:layout>
      <c:barChart>
        <c:barDir val="col"/>
        <c:grouping val="clustered"/>
        <c:varyColors val="0"/>
        <c:ser>
          <c:idx val="0"/>
          <c:order val="0"/>
          <c:tx>
            <c:strRef>
              <c:f>диаг.3.1!$A$2</c:f>
              <c:strCache>
                <c:ptCount val="1"/>
                <c:pt idx="0">
                  <c:v>Количество порывов НГДУ "Джалильнефть", шт</c:v>
                </c:pt>
              </c:strCache>
            </c:strRef>
          </c:tx>
          <c:spPr>
            <a:solidFill>
              <a:srgbClr val="00B050"/>
            </a:solidFill>
            <a:ln>
              <a:noFill/>
            </a:ln>
          </c:spPr>
          <c:invertIfNegative val="0"/>
          <c:dLbls>
            <c:dLbl>
              <c:idx val="1"/>
              <c:spPr>
                <a:noFill/>
              </c:spPr>
              <c:txPr>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extLst>
                <c:ext xmlns:c16="http://schemas.microsoft.com/office/drawing/2014/chart" uri="{C3380CC4-5D6E-409C-BE32-E72D297353CC}">
                  <c16:uniqueId val="{00000000-5112-40A5-B635-8713EA290D65}"/>
                </c:ext>
              </c:extLst>
            </c:dLbl>
            <c:dLbl>
              <c:idx val="12"/>
              <c:spPr>
                <a:noFill/>
              </c:spPr>
              <c:txPr>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extLst>
                <c:ext xmlns:c16="http://schemas.microsoft.com/office/drawing/2014/chart" uri="{C3380CC4-5D6E-409C-BE32-E72D297353CC}">
                  <c16:uniqueId val="{00000001-5112-40A5-B635-8713EA290D65}"/>
                </c:ext>
              </c:extLst>
            </c:dLbl>
            <c:dLbl>
              <c:idx val="13"/>
              <c:spPr>
                <a:noFill/>
              </c:spPr>
              <c:txPr>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extLst>
                <c:ext xmlns:c16="http://schemas.microsoft.com/office/drawing/2014/chart" uri="{C3380CC4-5D6E-409C-BE32-E72D297353CC}">
                  <c16:uniqueId val="{00000002-5112-40A5-B635-8713EA290D65}"/>
                </c:ext>
              </c:extLst>
            </c:dLbl>
            <c:dLbl>
              <c:idx val="14"/>
              <c:spPr>
                <a:noFill/>
              </c:spPr>
              <c:txPr>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extLst>
                <c:ext xmlns:c16="http://schemas.microsoft.com/office/drawing/2014/chart" uri="{C3380CC4-5D6E-409C-BE32-E72D297353CC}">
                  <c16:uniqueId val="{00000003-5112-40A5-B635-8713EA290D65}"/>
                </c:ext>
              </c:extLst>
            </c:dLbl>
            <c:dLbl>
              <c:idx val="15"/>
              <c:spPr>
                <a:noFill/>
              </c:spPr>
              <c:txPr>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extLst>
                <c:ext xmlns:c16="http://schemas.microsoft.com/office/drawing/2014/chart" uri="{C3380CC4-5D6E-409C-BE32-E72D297353CC}">
                  <c16:uniqueId val="{00000004-5112-40A5-B635-8713EA290D65}"/>
                </c:ext>
              </c:extLst>
            </c:dLbl>
            <c:spPr>
              <a:noFill/>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диаг.3.1!$B$1:$S$1</c:f>
              <c:strCache>
                <c:ptCount val="18"/>
                <c:pt idx="0">
                  <c:v>2000г</c:v>
                </c:pt>
                <c:pt idx="1">
                  <c:v>2001г</c:v>
                </c:pt>
                <c:pt idx="2">
                  <c:v>2002г</c:v>
                </c:pt>
                <c:pt idx="3">
                  <c:v>2003г</c:v>
                </c:pt>
                <c:pt idx="4">
                  <c:v>2004г</c:v>
                </c:pt>
                <c:pt idx="5">
                  <c:v>2005г</c:v>
                </c:pt>
                <c:pt idx="6">
                  <c:v>2006г</c:v>
                </c:pt>
                <c:pt idx="7">
                  <c:v>2007г</c:v>
                </c:pt>
                <c:pt idx="8">
                  <c:v>2008г</c:v>
                </c:pt>
                <c:pt idx="9">
                  <c:v>2009г</c:v>
                </c:pt>
                <c:pt idx="10">
                  <c:v>2010г</c:v>
                </c:pt>
                <c:pt idx="11">
                  <c:v>2011г</c:v>
                </c:pt>
                <c:pt idx="12">
                  <c:v>2012г</c:v>
                </c:pt>
                <c:pt idx="13">
                  <c:v>2013г</c:v>
                </c:pt>
                <c:pt idx="14">
                  <c:v>2014г</c:v>
                </c:pt>
                <c:pt idx="15">
                  <c:v>2015г</c:v>
                </c:pt>
                <c:pt idx="16">
                  <c:v>2016г</c:v>
                </c:pt>
                <c:pt idx="17">
                  <c:v>2017г</c:v>
                </c:pt>
              </c:strCache>
            </c:strRef>
          </c:cat>
          <c:val>
            <c:numRef>
              <c:f>диаг.3.1!$B$2:$S$2</c:f>
              <c:numCache>
                <c:formatCode>General</c:formatCode>
                <c:ptCount val="18"/>
                <c:pt idx="0">
                  <c:v>1460</c:v>
                </c:pt>
                <c:pt idx="1">
                  <c:v>1431</c:v>
                </c:pt>
                <c:pt idx="2">
                  <c:v>1032</c:v>
                </c:pt>
                <c:pt idx="3">
                  <c:v>674</c:v>
                </c:pt>
                <c:pt idx="4">
                  <c:v>496</c:v>
                </c:pt>
                <c:pt idx="5">
                  <c:v>438</c:v>
                </c:pt>
                <c:pt idx="6">
                  <c:v>366</c:v>
                </c:pt>
                <c:pt idx="7">
                  <c:v>314</c:v>
                </c:pt>
                <c:pt idx="8">
                  <c:v>302</c:v>
                </c:pt>
                <c:pt idx="9">
                  <c:v>251</c:v>
                </c:pt>
                <c:pt idx="10">
                  <c:v>273</c:v>
                </c:pt>
                <c:pt idx="11">
                  <c:v>196</c:v>
                </c:pt>
                <c:pt idx="12">
                  <c:v>151</c:v>
                </c:pt>
                <c:pt idx="13">
                  <c:v>122</c:v>
                </c:pt>
                <c:pt idx="14">
                  <c:v>105</c:v>
                </c:pt>
                <c:pt idx="15">
                  <c:v>99</c:v>
                </c:pt>
                <c:pt idx="16">
                  <c:v>150</c:v>
                </c:pt>
                <c:pt idx="17">
                  <c:v>139</c:v>
                </c:pt>
              </c:numCache>
            </c:numRef>
          </c:val>
          <c:extLst>
            <c:ext xmlns:c16="http://schemas.microsoft.com/office/drawing/2014/chart" uri="{C3380CC4-5D6E-409C-BE32-E72D297353CC}">
              <c16:uniqueId val="{00000005-39C0-4393-9985-C687FA65B8CA}"/>
            </c:ext>
          </c:extLst>
        </c:ser>
        <c:dLbls>
          <c:showLegendKey val="0"/>
          <c:showVal val="0"/>
          <c:showCatName val="0"/>
          <c:showSerName val="0"/>
          <c:showPercent val="0"/>
          <c:showBubbleSize val="0"/>
        </c:dLbls>
        <c:gapWidth val="54"/>
        <c:axId val="82308480"/>
        <c:axId val="82319232"/>
      </c:barChart>
      <c:lineChart>
        <c:grouping val="standard"/>
        <c:varyColors val="0"/>
        <c:ser>
          <c:idx val="1"/>
          <c:order val="1"/>
          <c:tx>
            <c:strRef>
              <c:f>диаг.3.1!$A$3</c:f>
              <c:strCache>
                <c:ptCount val="1"/>
                <c:pt idx="0">
                  <c:v>Удел.порыв.н/пр НГДУ "Джалильнефть", шт/км</c:v>
                </c:pt>
              </c:strCache>
            </c:strRef>
          </c:tx>
          <c:spPr>
            <a:ln>
              <a:solidFill>
                <a:srgbClr val="FF0000"/>
              </a:solidFill>
            </a:ln>
          </c:spPr>
          <c:marker>
            <c:symbol val="none"/>
          </c:marker>
          <c:dLbls>
            <c:dLbl>
              <c:idx val="0"/>
              <c:layout>
                <c:manualLayout>
                  <c:x val="-2.859721671481719E-2"/>
                  <c:y val="-6.718795285724438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9C0-4393-9985-C687FA65B8CA}"/>
                </c:ext>
              </c:extLst>
            </c:dLbl>
            <c:dLbl>
              <c:idx val="1"/>
              <c:layout>
                <c:manualLayout>
                  <c:x val="-2.774183802564258E-2"/>
                  <c:y val="-8.00579657272575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9C0-4393-9985-C687FA65B8CA}"/>
                </c:ext>
              </c:extLst>
            </c:dLbl>
            <c:dLbl>
              <c:idx val="2"/>
              <c:layout>
                <c:manualLayout>
                  <c:x val="-2.2945674956098134E-2"/>
                  <c:y val="-2.08559065251979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9C0-4393-9985-C687FA65B8CA}"/>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диаг.3.1!$B$1:$S$1</c:f>
              <c:strCache>
                <c:ptCount val="18"/>
                <c:pt idx="0">
                  <c:v>2000г</c:v>
                </c:pt>
                <c:pt idx="1">
                  <c:v>2001г</c:v>
                </c:pt>
                <c:pt idx="2">
                  <c:v>2002г</c:v>
                </c:pt>
                <c:pt idx="3">
                  <c:v>2003г</c:v>
                </c:pt>
                <c:pt idx="4">
                  <c:v>2004г</c:v>
                </c:pt>
                <c:pt idx="5">
                  <c:v>2005г</c:v>
                </c:pt>
                <c:pt idx="6">
                  <c:v>2006г</c:v>
                </c:pt>
                <c:pt idx="7">
                  <c:v>2007г</c:v>
                </c:pt>
                <c:pt idx="8">
                  <c:v>2008г</c:v>
                </c:pt>
                <c:pt idx="9">
                  <c:v>2009г</c:v>
                </c:pt>
                <c:pt idx="10">
                  <c:v>2010г</c:v>
                </c:pt>
                <c:pt idx="11">
                  <c:v>2011г</c:v>
                </c:pt>
                <c:pt idx="12">
                  <c:v>2012г</c:v>
                </c:pt>
                <c:pt idx="13">
                  <c:v>2013г</c:v>
                </c:pt>
                <c:pt idx="14">
                  <c:v>2014г</c:v>
                </c:pt>
                <c:pt idx="15">
                  <c:v>2015г</c:v>
                </c:pt>
                <c:pt idx="16">
                  <c:v>2016г</c:v>
                </c:pt>
                <c:pt idx="17">
                  <c:v>2017г</c:v>
                </c:pt>
              </c:strCache>
            </c:strRef>
          </c:cat>
          <c:val>
            <c:numRef>
              <c:f>диаг.3.1!$B$3:$S$3</c:f>
              <c:numCache>
                <c:formatCode>General</c:formatCode>
                <c:ptCount val="18"/>
                <c:pt idx="0">
                  <c:v>0.30100000000000032</c:v>
                </c:pt>
                <c:pt idx="1">
                  <c:v>0.29000000000000031</c:v>
                </c:pt>
                <c:pt idx="2">
                  <c:v>0.24000000000000021</c:v>
                </c:pt>
                <c:pt idx="3">
                  <c:v>0.15700000000000033</c:v>
                </c:pt>
                <c:pt idx="4">
                  <c:v>0.11799999999999998</c:v>
                </c:pt>
                <c:pt idx="5">
                  <c:v>0.10700000000000012</c:v>
                </c:pt>
                <c:pt idx="6">
                  <c:v>9.9000000000000116E-2</c:v>
                </c:pt>
                <c:pt idx="7" formatCode="0.000">
                  <c:v>8.5300000000000015E-2</c:v>
                </c:pt>
                <c:pt idx="8">
                  <c:v>8.3000000000000129E-2</c:v>
                </c:pt>
                <c:pt idx="9">
                  <c:v>6.9000000000000103E-2</c:v>
                </c:pt>
                <c:pt idx="10">
                  <c:v>7.6000000000000012E-2</c:v>
                </c:pt>
                <c:pt idx="11">
                  <c:v>5.4000000000000034E-2</c:v>
                </c:pt>
                <c:pt idx="12">
                  <c:v>4.3000000000000003E-2</c:v>
                </c:pt>
                <c:pt idx="13">
                  <c:v>3.5000000000000045E-2</c:v>
                </c:pt>
                <c:pt idx="14">
                  <c:v>3.1000000000000052E-2</c:v>
                </c:pt>
                <c:pt idx="15" formatCode="0.000">
                  <c:v>2.9000000000000012E-2</c:v>
                </c:pt>
                <c:pt idx="16" formatCode="0.000">
                  <c:v>4.5000000000000033E-2</c:v>
                </c:pt>
                <c:pt idx="17" formatCode="0.000">
                  <c:v>4.2200000000000008E-2</c:v>
                </c:pt>
              </c:numCache>
            </c:numRef>
          </c:val>
          <c:smooth val="0"/>
          <c:extLst>
            <c:ext xmlns:c16="http://schemas.microsoft.com/office/drawing/2014/chart" uri="{C3380CC4-5D6E-409C-BE32-E72D297353CC}">
              <c16:uniqueId val="{00000009-39C0-4393-9985-C687FA65B8CA}"/>
            </c:ext>
          </c:extLst>
        </c:ser>
        <c:dLbls>
          <c:showLegendKey val="0"/>
          <c:showVal val="0"/>
          <c:showCatName val="0"/>
          <c:showSerName val="0"/>
          <c:showPercent val="0"/>
          <c:showBubbleSize val="0"/>
        </c:dLbls>
        <c:marker val="1"/>
        <c:smooth val="0"/>
        <c:axId val="82347520"/>
        <c:axId val="82345984"/>
      </c:lineChart>
      <c:catAx>
        <c:axId val="82308480"/>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82319232"/>
        <c:crosses val="autoZero"/>
        <c:auto val="1"/>
        <c:lblAlgn val="ctr"/>
        <c:lblOffset val="100"/>
        <c:noMultiLvlLbl val="0"/>
      </c:catAx>
      <c:valAx>
        <c:axId val="82319232"/>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82308480"/>
        <c:crosses val="autoZero"/>
        <c:crossBetween val="between"/>
      </c:valAx>
      <c:valAx>
        <c:axId val="82345984"/>
        <c:scaling>
          <c:orientation val="minMax"/>
        </c:scaling>
        <c:delete val="0"/>
        <c:axPos val="r"/>
        <c:numFmt formatCode="General" sourceLinked="1"/>
        <c:majorTickMark val="out"/>
        <c:minorTickMark val="none"/>
        <c:tickLblPos val="nextTo"/>
        <c:crossAx val="82347520"/>
        <c:crosses val="max"/>
        <c:crossBetween val="between"/>
      </c:valAx>
      <c:catAx>
        <c:axId val="82347520"/>
        <c:scaling>
          <c:orientation val="minMax"/>
        </c:scaling>
        <c:delete val="1"/>
        <c:axPos val="b"/>
        <c:numFmt formatCode="General" sourceLinked="1"/>
        <c:majorTickMark val="out"/>
        <c:minorTickMark val="none"/>
        <c:tickLblPos val="nextTo"/>
        <c:crossAx val="82345984"/>
        <c:crosses val="autoZero"/>
        <c:auto val="1"/>
        <c:lblAlgn val="ctr"/>
        <c:lblOffset val="100"/>
        <c:noMultiLvlLbl val="0"/>
      </c:catAx>
    </c:plotArea>
    <c:legend>
      <c:legendPos val="b"/>
      <c:layout>
        <c:manualLayout>
          <c:xMode val="edge"/>
          <c:yMode val="edge"/>
          <c:x val="7.2500361915192393E-2"/>
          <c:y val="0.94908258089360309"/>
          <c:w val="0.83425115026089514"/>
          <c:h val="5.0373122597424866E-2"/>
        </c:manualLayout>
      </c:layout>
      <c:overlay val="0"/>
      <c:txPr>
        <a:bodyPr/>
        <a:lstStyle/>
        <a:p>
          <a:pPr>
            <a:defRPr sz="595" b="1"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5217306469784806E-2"/>
          <c:y val="5.1400554097404488E-2"/>
          <c:w val="0.89454219301723836"/>
          <c:h val="0.8355624708588073"/>
        </c:manualLayout>
      </c:layout>
      <c:barChart>
        <c:barDir val="col"/>
        <c:grouping val="clustered"/>
        <c:varyColors val="0"/>
        <c:ser>
          <c:idx val="0"/>
          <c:order val="0"/>
          <c:tx>
            <c:strRef>
              <c:f>диаг.3.2!$A$2</c:f>
              <c:strCache>
                <c:ptCount val="1"/>
                <c:pt idx="0">
                  <c:v>количество порывов на 1 км</c:v>
                </c:pt>
              </c:strCache>
            </c:strRef>
          </c:tx>
          <c:spPr>
            <a:solidFill>
              <a:srgbClr val="00B050"/>
            </a:solidFill>
            <a:ln>
              <a:solidFill>
                <a:srgbClr val="9999FF"/>
              </a:solidFill>
            </a:ln>
          </c:spPr>
          <c:invertIfNegative val="0"/>
          <c:dLbls>
            <c:dLbl>
              <c:idx val="3"/>
              <c:layout>
                <c:manualLayout>
                  <c:x val="-1.5987210231814561E-3"/>
                  <c:y val="1.5968063872255488E-2"/>
                </c:manualLayout>
              </c:layout>
              <c:spPr/>
              <c:txPr>
                <a:bodyPr/>
                <a:lstStyle/>
                <a:p>
                  <a:pPr>
                    <a:defRPr sz="12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0A0-466D-8E62-0780A03132DD}"/>
                </c:ext>
              </c:extLst>
            </c:dLbl>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диаг.3.2!$B$1:$J$1</c:f>
              <c:strCache>
                <c:ptCount val="9"/>
                <c:pt idx="0">
                  <c:v>ЛН</c:v>
                </c:pt>
                <c:pt idx="1">
                  <c:v>АН</c:v>
                </c:pt>
                <c:pt idx="2">
                  <c:v>АзН</c:v>
                </c:pt>
                <c:pt idx="3">
                  <c:v>ДН</c:v>
                </c:pt>
                <c:pt idx="4">
                  <c:v>ЕН</c:v>
                </c:pt>
                <c:pt idx="5">
                  <c:v>БН</c:v>
                </c:pt>
                <c:pt idx="6">
                  <c:v>ПН</c:v>
                </c:pt>
                <c:pt idx="7">
                  <c:v>ЯН</c:v>
                </c:pt>
                <c:pt idx="8">
                  <c:v>НН</c:v>
                </c:pt>
              </c:strCache>
            </c:strRef>
          </c:cat>
          <c:val>
            <c:numRef>
              <c:f>диаг.3.2!$B$2:$J$2</c:f>
              <c:numCache>
                <c:formatCode>0.000</c:formatCode>
                <c:ptCount val="9"/>
                <c:pt idx="0">
                  <c:v>4.2898368604070959E-2</c:v>
                </c:pt>
                <c:pt idx="1">
                  <c:v>4.7961450279022794E-2</c:v>
                </c:pt>
                <c:pt idx="2">
                  <c:v>4.5973180395886548E-2</c:v>
                </c:pt>
                <c:pt idx="3">
                  <c:v>4.2188099435225813E-2</c:v>
                </c:pt>
                <c:pt idx="4" formatCode="General">
                  <c:v>2.5999999999999999E-2</c:v>
                </c:pt>
                <c:pt idx="5" formatCode="General">
                  <c:v>1.4E-2</c:v>
                </c:pt>
                <c:pt idx="6" formatCode="General">
                  <c:v>2.1000000000000012E-2</c:v>
                </c:pt>
                <c:pt idx="7" formatCode="General">
                  <c:v>1.2999999999999998E-2</c:v>
                </c:pt>
                <c:pt idx="8">
                  <c:v>1.4999999999999998E-2</c:v>
                </c:pt>
              </c:numCache>
            </c:numRef>
          </c:val>
          <c:extLst>
            <c:ext xmlns:c16="http://schemas.microsoft.com/office/drawing/2014/chart" uri="{C3380CC4-5D6E-409C-BE32-E72D297353CC}">
              <c16:uniqueId val="{00000001-40A0-466D-8E62-0780A03132DD}"/>
            </c:ext>
          </c:extLst>
        </c:ser>
        <c:dLbls>
          <c:showLegendKey val="0"/>
          <c:showVal val="0"/>
          <c:showCatName val="0"/>
          <c:showSerName val="0"/>
          <c:showPercent val="0"/>
          <c:showBubbleSize val="0"/>
        </c:dLbls>
        <c:gapWidth val="150"/>
        <c:axId val="119931648"/>
        <c:axId val="119933184"/>
      </c:barChart>
      <c:lineChart>
        <c:grouping val="standard"/>
        <c:varyColors val="0"/>
        <c:ser>
          <c:idx val="1"/>
          <c:order val="1"/>
          <c:tx>
            <c:strRef>
              <c:f>диаг.3.2!$A$3</c:f>
              <c:strCache>
                <c:ptCount val="1"/>
              </c:strCache>
            </c:strRef>
          </c:tx>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2-40A0-466D-8E62-0780A03132DD}"/>
                </c:ext>
              </c:extLst>
            </c:dLbl>
            <c:dLbl>
              <c:idx val="1"/>
              <c:delete val="1"/>
              <c:extLst>
                <c:ext xmlns:c15="http://schemas.microsoft.com/office/drawing/2012/chart" uri="{CE6537A1-D6FC-4f65-9D91-7224C49458BB}"/>
                <c:ext xmlns:c16="http://schemas.microsoft.com/office/drawing/2014/chart" uri="{C3380CC4-5D6E-409C-BE32-E72D297353CC}">
                  <c16:uniqueId val="{00000003-40A0-466D-8E62-0780A03132DD}"/>
                </c:ext>
              </c:extLst>
            </c:dLbl>
            <c:dLbl>
              <c:idx val="2"/>
              <c:delete val="1"/>
              <c:extLst>
                <c:ext xmlns:c15="http://schemas.microsoft.com/office/drawing/2012/chart" uri="{CE6537A1-D6FC-4f65-9D91-7224C49458BB}"/>
                <c:ext xmlns:c16="http://schemas.microsoft.com/office/drawing/2014/chart" uri="{C3380CC4-5D6E-409C-BE32-E72D297353CC}">
                  <c16:uniqueId val="{00000004-40A0-466D-8E62-0780A03132DD}"/>
                </c:ext>
              </c:extLst>
            </c:dLbl>
            <c:dLbl>
              <c:idx val="3"/>
              <c:delete val="1"/>
              <c:extLst>
                <c:ext xmlns:c15="http://schemas.microsoft.com/office/drawing/2012/chart" uri="{CE6537A1-D6FC-4f65-9D91-7224C49458BB}"/>
                <c:ext xmlns:c16="http://schemas.microsoft.com/office/drawing/2014/chart" uri="{C3380CC4-5D6E-409C-BE32-E72D297353CC}">
                  <c16:uniqueId val="{00000005-40A0-466D-8E62-0780A03132DD}"/>
                </c:ext>
              </c:extLst>
            </c:dLbl>
            <c:dLbl>
              <c:idx val="4"/>
              <c:delete val="1"/>
              <c:extLst>
                <c:ext xmlns:c15="http://schemas.microsoft.com/office/drawing/2012/chart" uri="{CE6537A1-D6FC-4f65-9D91-7224C49458BB}"/>
                <c:ext xmlns:c16="http://schemas.microsoft.com/office/drawing/2014/chart" uri="{C3380CC4-5D6E-409C-BE32-E72D297353CC}">
                  <c16:uniqueId val="{00000006-40A0-466D-8E62-0780A03132DD}"/>
                </c:ext>
              </c:extLst>
            </c:dLbl>
            <c:dLbl>
              <c:idx val="5"/>
              <c:delete val="1"/>
              <c:extLst>
                <c:ext xmlns:c15="http://schemas.microsoft.com/office/drawing/2012/chart" uri="{CE6537A1-D6FC-4f65-9D91-7224C49458BB}"/>
                <c:ext xmlns:c16="http://schemas.microsoft.com/office/drawing/2014/chart" uri="{C3380CC4-5D6E-409C-BE32-E72D297353CC}">
                  <c16:uniqueId val="{00000007-40A0-466D-8E62-0780A03132DD}"/>
                </c:ext>
              </c:extLst>
            </c:dLbl>
            <c:dLbl>
              <c:idx val="6"/>
              <c:delete val="1"/>
              <c:extLst>
                <c:ext xmlns:c15="http://schemas.microsoft.com/office/drawing/2012/chart" uri="{CE6537A1-D6FC-4f65-9D91-7224C49458BB}"/>
                <c:ext xmlns:c16="http://schemas.microsoft.com/office/drawing/2014/chart" uri="{C3380CC4-5D6E-409C-BE32-E72D297353CC}">
                  <c16:uniqueId val="{00000008-40A0-466D-8E62-0780A03132DD}"/>
                </c:ext>
              </c:extLst>
            </c:dLbl>
            <c:dLbl>
              <c:idx val="7"/>
              <c:delete val="1"/>
              <c:extLst>
                <c:ext xmlns:c15="http://schemas.microsoft.com/office/drawing/2012/chart" uri="{CE6537A1-D6FC-4f65-9D91-7224C49458BB}"/>
                <c:ext xmlns:c16="http://schemas.microsoft.com/office/drawing/2014/chart" uri="{C3380CC4-5D6E-409C-BE32-E72D297353CC}">
                  <c16:uniqueId val="{00000009-40A0-466D-8E62-0780A03132DD}"/>
                </c:ext>
              </c:extLst>
            </c:dLbl>
            <c:dLbl>
              <c:idx val="8"/>
              <c:layout>
                <c:manualLayout>
                  <c:x val="-3.3573141486810648E-2"/>
                  <c:y val="-3.1936127744510996E-2"/>
                </c:manualLayout>
              </c:layout>
              <c:spPr/>
              <c:txPr>
                <a:bodyPr/>
                <a:lstStyle/>
                <a:p>
                  <a:pPr>
                    <a:defRPr sz="1200" b="1" i="0" u="none" strike="noStrike" baseline="0">
                      <a:solidFill>
                        <a:srgbClr val="FF0000"/>
                      </a:solidFill>
                      <a:latin typeface="Times New Roman"/>
                      <a:ea typeface="Times New Roman"/>
                      <a:cs typeface="Times New Roman"/>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40A0-466D-8E62-0780A03132DD}"/>
                </c:ext>
              </c:extLst>
            </c:dLbl>
            <c:spPr>
              <a:noFill/>
              <a:ln w="25400">
                <a:noFill/>
              </a:ln>
            </c:spPr>
            <c:txPr>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диаг.3.2!$B$1:$J$1</c:f>
              <c:strCache>
                <c:ptCount val="9"/>
                <c:pt idx="0">
                  <c:v>ЛН</c:v>
                </c:pt>
                <c:pt idx="1">
                  <c:v>АН</c:v>
                </c:pt>
                <c:pt idx="2">
                  <c:v>АзН</c:v>
                </c:pt>
                <c:pt idx="3">
                  <c:v>ДН</c:v>
                </c:pt>
                <c:pt idx="4">
                  <c:v>ЕН</c:v>
                </c:pt>
                <c:pt idx="5">
                  <c:v>БН</c:v>
                </c:pt>
                <c:pt idx="6">
                  <c:v>ПН</c:v>
                </c:pt>
                <c:pt idx="7">
                  <c:v>ЯН</c:v>
                </c:pt>
                <c:pt idx="8">
                  <c:v>НН</c:v>
                </c:pt>
              </c:strCache>
            </c:strRef>
          </c:cat>
          <c:val>
            <c:numRef>
              <c:f>диаг.3.2!$B$3:$J$3</c:f>
              <c:numCache>
                <c:formatCode>General</c:formatCode>
                <c:ptCount val="9"/>
                <c:pt idx="0">
                  <c:v>3.500000000000001E-2</c:v>
                </c:pt>
                <c:pt idx="1">
                  <c:v>3.500000000000001E-2</c:v>
                </c:pt>
                <c:pt idx="2">
                  <c:v>3.500000000000001E-2</c:v>
                </c:pt>
                <c:pt idx="3">
                  <c:v>3.500000000000001E-2</c:v>
                </c:pt>
                <c:pt idx="4">
                  <c:v>3.500000000000001E-2</c:v>
                </c:pt>
                <c:pt idx="5">
                  <c:v>3.500000000000001E-2</c:v>
                </c:pt>
                <c:pt idx="6">
                  <c:v>3.500000000000001E-2</c:v>
                </c:pt>
                <c:pt idx="7">
                  <c:v>3.500000000000001E-2</c:v>
                </c:pt>
                <c:pt idx="8">
                  <c:v>3.500000000000001E-2</c:v>
                </c:pt>
              </c:numCache>
            </c:numRef>
          </c:val>
          <c:smooth val="0"/>
          <c:extLst>
            <c:ext xmlns:c16="http://schemas.microsoft.com/office/drawing/2014/chart" uri="{C3380CC4-5D6E-409C-BE32-E72D297353CC}">
              <c16:uniqueId val="{0000000B-40A0-466D-8E62-0780A03132DD}"/>
            </c:ext>
          </c:extLst>
        </c:ser>
        <c:dLbls>
          <c:showLegendKey val="0"/>
          <c:showVal val="0"/>
          <c:showCatName val="0"/>
          <c:showSerName val="0"/>
          <c:showPercent val="0"/>
          <c:showBubbleSize val="0"/>
        </c:dLbls>
        <c:marker val="1"/>
        <c:smooth val="0"/>
        <c:axId val="119931648"/>
        <c:axId val="119933184"/>
      </c:lineChart>
      <c:catAx>
        <c:axId val="119931648"/>
        <c:scaling>
          <c:orientation val="minMax"/>
        </c:scaling>
        <c:delete val="0"/>
        <c:axPos val="b"/>
        <c:numFmt formatCode="General" sourceLinked="1"/>
        <c:majorTickMark val="out"/>
        <c:minorTickMark val="none"/>
        <c:tickLblPos val="nextTo"/>
        <c:txPr>
          <a:bodyPr rot="0" vert="horz"/>
          <a:lstStyle/>
          <a:p>
            <a:pPr>
              <a:defRPr sz="1400" b="1" i="0" u="none" strike="noStrike" baseline="0">
                <a:solidFill>
                  <a:srgbClr val="000000"/>
                </a:solidFill>
                <a:latin typeface="Times New Roman"/>
                <a:ea typeface="Times New Roman"/>
                <a:cs typeface="Times New Roman"/>
              </a:defRPr>
            </a:pPr>
            <a:endParaRPr lang="ru-RU"/>
          </a:p>
        </c:txPr>
        <c:crossAx val="119933184"/>
        <c:crosses val="autoZero"/>
        <c:auto val="1"/>
        <c:lblAlgn val="ctr"/>
        <c:lblOffset val="100"/>
        <c:noMultiLvlLbl val="0"/>
      </c:catAx>
      <c:valAx>
        <c:axId val="119933184"/>
        <c:scaling>
          <c:orientation val="minMax"/>
        </c:scaling>
        <c:delete val="0"/>
        <c:axPos val="l"/>
        <c:numFmt formatCode="#,##0.000" sourceLinked="0"/>
        <c:majorTickMark val="out"/>
        <c:minorTickMark val="none"/>
        <c:tickLblPos val="nextTo"/>
        <c:txPr>
          <a:bodyPr rot="0" vert="horz"/>
          <a:lstStyle/>
          <a:p>
            <a:pPr>
              <a:defRPr sz="1200" b="1" i="0" u="none" strike="noStrike" baseline="0">
                <a:solidFill>
                  <a:srgbClr val="000000"/>
                </a:solidFill>
                <a:latin typeface="Times New Roman"/>
                <a:ea typeface="Times New Roman"/>
                <a:cs typeface="Times New Roman"/>
              </a:defRPr>
            </a:pPr>
            <a:endParaRPr lang="ru-RU"/>
          </a:p>
        </c:txPr>
        <c:crossAx val="119931648"/>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Динамика порывности в системе нефтесбора ПАО "Татнефть"</a:t>
            </a:r>
          </a:p>
        </c:rich>
      </c:tx>
      <c:overlay val="0"/>
    </c:title>
    <c:autoTitleDeleted val="0"/>
    <c:plotArea>
      <c:layout/>
      <c:barChart>
        <c:barDir val="col"/>
        <c:grouping val="clustered"/>
        <c:varyColors val="0"/>
        <c:ser>
          <c:idx val="0"/>
          <c:order val="0"/>
          <c:tx>
            <c:strRef>
              <c:f>диаг.3.3!$C$2</c:f>
              <c:strCache>
                <c:ptCount val="1"/>
                <c:pt idx="0">
                  <c:v>2015г</c:v>
                </c:pt>
              </c:strCache>
            </c:strRef>
          </c:tx>
          <c:invertIfNegative val="0"/>
          <c:cat>
            <c:strRef>
              <c:f>диаг.3.3!$A$3:$A$11</c:f>
              <c:strCache>
                <c:ptCount val="9"/>
                <c:pt idx="0">
                  <c:v>ЛН</c:v>
                </c:pt>
                <c:pt idx="1">
                  <c:v>АН</c:v>
                </c:pt>
                <c:pt idx="2">
                  <c:v>АзН</c:v>
                </c:pt>
                <c:pt idx="3">
                  <c:v>ДН</c:v>
                </c:pt>
                <c:pt idx="4">
                  <c:v>ЕН</c:v>
                </c:pt>
                <c:pt idx="5">
                  <c:v>БН</c:v>
                </c:pt>
                <c:pt idx="6">
                  <c:v>ПН</c:v>
                </c:pt>
                <c:pt idx="7">
                  <c:v>ЯН</c:v>
                </c:pt>
                <c:pt idx="8">
                  <c:v>НН</c:v>
                </c:pt>
              </c:strCache>
            </c:strRef>
          </c:cat>
          <c:val>
            <c:numRef>
              <c:f>диаг.3.3!$C$3:$C$11</c:f>
              <c:numCache>
                <c:formatCode>General</c:formatCode>
                <c:ptCount val="9"/>
                <c:pt idx="0">
                  <c:v>129</c:v>
                </c:pt>
                <c:pt idx="1">
                  <c:v>71</c:v>
                </c:pt>
                <c:pt idx="2">
                  <c:v>161</c:v>
                </c:pt>
                <c:pt idx="3">
                  <c:v>99</c:v>
                </c:pt>
                <c:pt idx="4">
                  <c:v>61</c:v>
                </c:pt>
                <c:pt idx="5">
                  <c:v>9</c:v>
                </c:pt>
                <c:pt idx="6">
                  <c:v>31</c:v>
                </c:pt>
                <c:pt idx="7">
                  <c:v>8</c:v>
                </c:pt>
                <c:pt idx="8">
                  <c:v>12</c:v>
                </c:pt>
              </c:numCache>
            </c:numRef>
          </c:val>
          <c:extLst>
            <c:ext xmlns:c16="http://schemas.microsoft.com/office/drawing/2014/chart" uri="{C3380CC4-5D6E-409C-BE32-E72D297353CC}">
              <c16:uniqueId val="{00000000-76AA-4745-8D78-6292CCDFF7CE}"/>
            </c:ext>
          </c:extLst>
        </c:ser>
        <c:ser>
          <c:idx val="1"/>
          <c:order val="1"/>
          <c:tx>
            <c:strRef>
              <c:f>диаг.3.3!$D$2</c:f>
              <c:strCache>
                <c:ptCount val="1"/>
                <c:pt idx="0">
                  <c:v>2016г</c:v>
                </c:pt>
              </c:strCache>
            </c:strRef>
          </c:tx>
          <c:invertIfNegative val="0"/>
          <c:cat>
            <c:strRef>
              <c:f>диаг.3.3!$A$3:$A$11</c:f>
              <c:strCache>
                <c:ptCount val="9"/>
                <c:pt idx="0">
                  <c:v>ЛН</c:v>
                </c:pt>
                <c:pt idx="1">
                  <c:v>АН</c:v>
                </c:pt>
                <c:pt idx="2">
                  <c:v>АзН</c:v>
                </c:pt>
                <c:pt idx="3">
                  <c:v>ДН</c:v>
                </c:pt>
                <c:pt idx="4">
                  <c:v>ЕН</c:v>
                </c:pt>
                <c:pt idx="5">
                  <c:v>БН</c:v>
                </c:pt>
                <c:pt idx="6">
                  <c:v>ПН</c:v>
                </c:pt>
                <c:pt idx="7">
                  <c:v>ЯН</c:v>
                </c:pt>
                <c:pt idx="8">
                  <c:v>НН</c:v>
                </c:pt>
              </c:strCache>
            </c:strRef>
          </c:cat>
          <c:val>
            <c:numRef>
              <c:f>диаг.3.3!$D$3:$D$11</c:f>
              <c:numCache>
                <c:formatCode>General</c:formatCode>
                <c:ptCount val="9"/>
                <c:pt idx="0">
                  <c:v>135</c:v>
                </c:pt>
                <c:pt idx="1">
                  <c:v>81</c:v>
                </c:pt>
                <c:pt idx="2">
                  <c:v>166</c:v>
                </c:pt>
                <c:pt idx="3">
                  <c:v>150</c:v>
                </c:pt>
                <c:pt idx="4">
                  <c:v>71</c:v>
                </c:pt>
                <c:pt idx="5">
                  <c:v>14</c:v>
                </c:pt>
                <c:pt idx="6">
                  <c:v>36</c:v>
                </c:pt>
                <c:pt idx="7">
                  <c:v>9</c:v>
                </c:pt>
                <c:pt idx="8">
                  <c:v>22</c:v>
                </c:pt>
              </c:numCache>
            </c:numRef>
          </c:val>
          <c:extLst>
            <c:ext xmlns:c16="http://schemas.microsoft.com/office/drawing/2014/chart" uri="{C3380CC4-5D6E-409C-BE32-E72D297353CC}">
              <c16:uniqueId val="{00000001-76AA-4745-8D78-6292CCDFF7CE}"/>
            </c:ext>
          </c:extLst>
        </c:ser>
        <c:ser>
          <c:idx val="2"/>
          <c:order val="2"/>
          <c:tx>
            <c:strRef>
              <c:f>диаг.3.3!$E$2</c:f>
              <c:strCache>
                <c:ptCount val="1"/>
                <c:pt idx="0">
                  <c:v>2017г</c:v>
                </c:pt>
              </c:strCache>
            </c:strRef>
          </c:tx>
          <c:invertIfNegative val="0"/>
          <c:cat>
            <c:strRef>
              <c:f>диаг.3.3!$A$3:$A$11</c:f>
              <c:strCache>
                <c:ptCount val="9"/>
                <c:pt idx="0">
                  <c:v>ЛН</c:v>
                </c:pt>
                <c:pt idx="1">
                  <c:v>АН</c:v>
                </c:pt>
                <c:pt idx="2">
                  <c:v>АзН</c:v>
                </c:pt>
                <c:pt idx="3">
                  <c:v>ДН</c:v>
                </c:pt>
                <c:pt idx="4">
                  <c:v>ЕН</c:v>
                </c:pt>
                <c:pt idx="5">
                  <c:v>БН</c:v>
                </c:pt>
                <c:pt idx="6">
                  <c:v>ПН</c:v>
                </c:pt>
                <c:pt idx="7">
                  <c:v>ЯН</c:v>
                </c:pt>
                <c:pt idx="8">
                  <c:v>НН</c:v>
                </c:pt>
              </c:strCache>
            </c:strRef>
          </c:cat>
          <c:val>
            <c:numRef>
              <c:f>диаг.3.3!$E$3:$E$11</c:f>
              <c:numCache>
                <c:formatCode>General</c:formatCode>
                <c:ptCount val="9"/>
                <c:pt idx="0">
                  <c:v>133</c:v>
                </c:pt>
                <c:pt idx="1">
                  <c:v>102</c:v>
                </c:pt>
                <c:pt idx="2">
                  <c:v>144</c:v>
                </c:pt>
                <c:pt idx="3">
                  <c:v>139</c:v>
                </c:pt>
                <c:pt idx="4">
                  <c:v>59</c:v>
                </c:pt>
                <c:pt idx="5">
                  <c:v>19</c:v>
                </c:pt>
                <c:pt idx="6">
                  <c:v>15</c:v>
                </c:pt>
                <c:pt idx="7">
                  <c:v>15</c:v>
                </c:pt>
                <c:pt idx="8">
                  <c:v>22</c:v>
                </c:pt>
              </c:numCache>
            </c:numRef>
          </c:val>
          <c:extLst>
            <c:ext xmlns:c16="http://schemas.microsoft.com/office/drawing/2014/chart" uri="{C3380CC4-5D6E-409C-BE32-E72D297353CC}">
              <c16:uniqueId val="{00000002-76AA-4745-8D78-6292CCDFF7CE}"/>
            </c:ext>
          </c:extLst>
        </c:ser>
        <c:dLbls>
          <c:showLegendKey val="0"/>
          <c:showVal val="0"/>
          <c:showCatName val="0"/>
          <c:showSerName val="0"/>
          <c:showPercent val="0"/>
          <c:showBubbleSize val="0"/>
        </c:dLbls>
        <c:gapWidth val="150"/>
        <c:axId val="120426880"/>
        <c:axId val="120428416"/>
      </c:barChart>
      <c:catAx>
        <c:axId val="120426880"/>
        <c:scaling>
          <c:orientation val="minMax"/>
        </c:scaling>
        <c:delete val="0"/>
        <c:axPos val="b"/>
        <c:numFmt formatCode="General" sourceLinked="1"/>
        <c:majorTickMark val="none"/>
        <c:minorTickMark val="none"/>
        <c:tickLblPos val="nextTo"/>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120428416"/>
        <c:crosses val="autoZero"/>
        <c:auto val="1"/>
        <c:lblAlgn val="ctr"/>
        <c:lblOffset val="100"/>
        <c:noMultiLvlLbl val="0"/>
      </c:catAx>
      <c:valAx>
        <c:axId val="120428416"/>
        <c:scaling>
          <c:orientation val="minMax"/>
        </c:scaling>
        <c:delete val="0"/>
        <c:axPos val="l"/>
        <c:majorGridlines/>
        <c:title>
          <c:tx>
            <c:rich>
              <a:bodyPr/>
              <a:lstStyle/>
              <a:p>
                <a:pPr>
                  <a:defRPr sz="1200" b="1" i="0" u="none" strike="noStrike" baseline="0">
                    <a:solidFill>
                      <a:srgbClr val="000000"/>
                    </a:solidFill>
                    <a:latin typeface="Times New Roman"/>
                    <a:ea typeface="Times New Roman"/>
                    <a:cs typeface="Times New Roman"/>
                  </a:defRPr>
                </a:pPr>
                <a:r>
                  <a:rPr lang="ru-RU"/>
                  <a:t>Количество порывов, шт</a:t>
                </a:r>
              </a:p>
            </c:rich>
          </c:tx>
          <c:overlay val="0"/>
        </c:title>
        <c:numFmt formatCode="General" sourceLinked="1"/>
        <c:majorTickMark val="none"/>
        <c:minorTickMark val="none"/>
        <c:tickLblPos val="nextTo"/>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120426880"/>
        <c:crosses val="autoZero"/>
        <c:crossBetween val="between"/>
      </c:valAx>
      <c:dTable>
        <c:showHorzBorder val="1"/>
        <c:showVertBorder val="1"/>
        <c:showOutline val="1"/>
        <c:showKeys val="1"/>
        <c:txPr>
          <a:bodyPr/>
          <a:lstStyle/>
          <a:p>
            <a:pPr rtl="0">
              <a:defRPr sz="1200" b="0" i="0" u="none" strike="noStrike" baseline="0">
                <a:solidFill>
                  <a:srgbClr val="000000"/>
                </a:solidFill>
                <a:latin typeface="Times New Roman"/>
                <a:ea typeface="Times New Roman"/>
                <a:cs typeface="Times New Roman"/>
              </a:defRPr>
            </a:pPr>
            <a:endParaRPr lang="ru-RU"/>
          </a:p>
        </c:txPr>
      </c:dTable>
    </c:plotArea>
    <c:plotVisOnly val="1"/>
    <c:dispBlanksAs val="gap"/>
    <c:showDLblsOverMax val="0"/>
  </c:chart>
  <c:txPr>
    <a:bodyPr/>
    <a:lstStyle/>
    <a:p>
      <a:pPr>
        <a:defRPr sz="1200" b="0"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2"/>
    </mc:Choice>
    <mc:Fallback>
      <c:style val="2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Распределение порывов за 2017 год по срокам ввода в эксплуатацию</a:t>
            </a:r>
          </a:p>
        </c:rich>
      </c:tx>
      <c:overlay val="0"/>
    </c:title>
    <c:autoTitleDeleted val="0"/>
    <c:plotArea>
      <c:layout>
        <c:manualLayout>
          <c:layoutTarget val="inner"/>
          <c:xMode val="edge"/>
          <c:yMode val="edge"/>
          <c:x val="4.7131799834007011E-2"/>
          <c:y val="0.15123691117557694"/>
          <c:w val="0.94545049146700666"/>
          <c:h val="0.73801298521895176"/>
        </c:manualLayout>
      </c:layout>
      <c:barChart>
        <c:barDir val="col"/>
        <c:grouping val="clustered"/>
        <c:varyColors val="0"/>
        <c:ser>
          <c:idx val="0"/>
          <c:order val="0"/>
          <c:spPr>
            <a:solidFill>
              <a:srgbClr val="00B050"/>
            </a:solidFill>
          </c:spPr>
          <c:invertIfNegative val="0"/>
          <c:dLbls>
            <c:dLbl>
              <c:idx val="0"/>
              <c:tx>
                <c:rich>
                  <a:bodyPr/>
                  <a:lstStyle/>
                  <a:p>
                    <a:r>
                      <a:rPr lang="en-US"/>
                      <a:t>1 (0,7%)</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EC1-4812-92DE-53112CDD3D4B}"/>
                </c:ext>
              </c:extLst>
            </c:dLbl>
            <c:dLbl>
              <c:idx val="1"/>
              <c:tx>
                <c:rich>
                  <a:bodyPr/>
                  <a:lstStyle/>
                  <a:p>
                    <a:r>
                      <a:rPr lang="en-US"/>
                      <a:t>6 (4,3%)</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EC1-4812-92DE-53112CDD3D4B}"/>
                </c:ext>
              </c:extLst>
            </c:dLbl>
            <c:dLbl>
              <c:idx val="2"/>
              <c:tx>
                <c:rich>
                  <a:bodyPr/>
                  <a:lstStyle/>
                  <a:p>
                    <a:r>
                      <a:rPr lang="en-US"/>
                      <a:t>12 (8,6%)</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EC1-4812-92DE-53112CDD3D4B}"/>
                </c:ext>
              </c:extLst>
            </c:dLbl>
            <c:dLbl>
              <c:idx val="3"/>
              <c:tx>
                <c:rich>
                  <a:bodyPr/>
                  <a:lstStyle/>
                  <a:p>
                    <a:r>
                      <a:rPr lang="en-US"/>
                      <a:t>38 (27,3%)</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EC1-4812-92DE-53112CDD3D4B}"/>
                </c:ext>
              </c:extLst>
            </c:dLbl>
            <c:dLbl>
              <c:idx val="4"/>
              <c:tx>
                <c:rich>
                  <a:bodyPr/>
                  <a:lstStyle/>
                  <a:p>
                    <a:r>
                      <a:rPr lang="en-US"/>
                      <a:t>36 (25,9%)</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EC1-4812-92DE-53112CDD3D4B}"/>
                </c:ext>
              </c:extLst>
            </c:dLbl>
            <c:dLbl>
              <c:idx val="5"/>
              <c:tx>
                <c:rich>
                  <a:bodyPr/>
                  <a:lstStyle/>
                  <a:p>
                    <a:r>
                      <a:rPr lang="en-US"/>
                      <a:t>46 (33,1%)</a:t>
                    </a:r>
                  </a:p>
                </c:rich>
              </c:tx>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EC1-4812-92DE-53112CDD3D4B}"/>
                </c:ext>
              </c:extLst>
            </c:dLbl>
            <c:spPr>
              <a:noFill/>
              <a:ln w="25400">
                <a:noFill/>
              </a:ln>
            </c:spPr>
            <c:txPr>
              <a:bodyPr wrap="square" lIns="38100" tIns="19050" rIns="38100" bIns="19050" anchor="ctr">
                <a:spAutoFit/>
              </a:bodyPr>
              <a:lstStyle/>
              <a:p>
                <a:pPr>
                  <a:defRPr sz="1000">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диаг.3.4!$B$19:$G$19</c:f>
              <c:strCache>
                <c:ptCount val="6"/>
                <c:pt idx="0">
                  <c:v>до 5 лет</c:v>
                </c:pt>
                <c:pt idx="1">
                  <c:v>6-12 лет</c:v>
                </c:pt>
                <c:pt idx="2">
                  <c:v>13-15лет</c:v>
                </c:pt>
                <c:pt idx="3">
                  <c:v>16-20лет</c:v>
                </c:pt>
                <c:pt idx="4">
                  <c:v>21-30лет</c:v>
                </c:pt>
                <c:pt idx="5">
                  <c:v>более 30лет</c:v>
                </c:pt>
              </c:strCache>
            </c:strRef>
          </c:cat>
          <c:val>
            <c:numRef>
              <c:f>диаг.3.4!$B$20:$G$20</c:f>
              <c:numCache>
                <c:formatCode>General</c:formatCode>
                <c:ptCount val="6"/>
                <c:pt idx="0">
                  <c:v>1</c:v>
                </c:pt>
                <c:pt idx="1">
                  <c:v>6</c:v>
                </c:pt>
                <c:pt idx="2">
                  <c:v>12</c:v>
                </c:pt>
                <c:pt idx="3">
                  <c:v>38</c:v>
                </c:pt>
                <c:pt idx="4">
                  <c:v>36</c:v>
                </c:pt>
                <c:pt idx="5">
                  <c:v>46</c:v>
                </c:pt>
              </c:numCache>
            </c:numRef>
          </c:val>
          <c:extLst>
            <c:ext xmlns:c16="http://schemas.microsoft.com/office/drawing/2014/chart" uri="{C3380CC4-5D6E-409C-BE32-E72D297353CC}">
              <c16:uniqueId val="{00000006-EEC1-4812-92DE-53112CDD3D4B}"/>
            </c:ext>
          </c:extLst>
        </c:ser>
        <c:dLbls>
          <c:showLegendKey val="0"/>
          <c:showVal val="0"/>
          <c:showCatName val="0"/>
          <c:showSerName val="0"/>
          <c:showPercent val="0"/>
          <c:showBubbleSize val="0"/>
        </c:dLbls>
        <c:gapWidth val="75"/>
        <c:axId val="120423168"/>
        <c:axId val="120424704"/>
      </c:barChart>
      <c:catAx>
        <c:axId val="120423168"/>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20424704"/>
        <c:crosses val="autoZero"/>
        <c:auto val="1"/>
        <c:lblAlgn val="ctr"/>
        <c:lblOffset val="100"/>
        <c:noMultiLvlLbl val="0"/>
      </c:catAx>
      <c:valAx>
        <c:axId val="120424704"/>
        <c:scaling>
          <c:orientation val="minMax"/>
        </c:scaling>
        <c:delete val="0"/>
        <c:axPos val="l"/>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20423168"/>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Распределение порывов по причинам за период 1999-2017г.г.</a:t>
            </a:r>
          </a:p>
        </c:rich>
      </c:tx>
      <c:overlay val="0"/>
    </c:title>
    <c:autoTitleDeleted val="0"/>
    <c:plotArea>
      <c:layout/>
      <c:lineChart>
        <c:grouping val="standard"/>
        <c:varyColors val="0"/>
        <c:ser>
          <c:idx val="0"/>
          <c:order val="0"/>
          <c:tx>
            <c:strRef>
              <c:f>диаг.3.7!$A$3</c:f>
              <c:strCache>
                <c:ptCount val="1"/>
                <c:pt idx="0">
                  <c:v>наружняя коррозия</c:v>
                </c:pt>
              </c:strCache>
            </c:strRef>
          </c:tx>
          <c:spPr>
            <a:ln w="25400">
              <a:solidFill>
                <a:schemeClr val="bg1">
                  <a:lumMod val="50000"/>
                </a:schemeClr>
              </a:solidFill>
              <a:prstDash val="solid"/>
            </a:ln>
          </c:spPr>
          <c:marker>
            <c:spPr>
              <a:solidFill>
                <a:schemeClr val="bg1">
                  <a:lumMod val="50000"/>
                </a:schemeClr>
              </a:solidFill>
              <a:ln>
                <a:solidFill>
                  <a:schemeClr val="bg1">
                    <a:lumMod val="50000"/>
                  </a:schemeClr>
                </a:solidFill>
              </a:ln>
            </c:spPr>
          </c:marker>
          <c:dLbls>
            <c:dLbl>
              <c:idx val="0"/>
              <c:layout>
                <c:manualLayout>
                  <c:x val="-3.4514078110808359E-2"/>
                  <c:y val="-3.061224489795921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0D6-42E8-9B1C-0894F9CF9479}"/>
                </c:ext>
              </c:extLst>
            </c:dLbl>
            <c:dLbl>
              <c:idx val="1"/>
              <c:layout>
                <c:manualLayout>
                  <c:x val="-3.0881017257039151E-2"/>
                  <c:y val="-3.7414965986394648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0D6-42E8-9B1C-0894F9CF9479}"/>
                </c:ext>
              </c:extLst>
            </c:dLbl>
            <c:dLbl>
              <c:idx val="2"/>
              <c:layout>
                <c:manualLayout>
                  <c:x val="-2.9064486830154383E-2"/>
                  <c:y val="-4.0816326530612367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0D6-42E8-9B1C-0894F9CF9479}"/>
                </c:ext>
              </c:extLst>
            </c:dLbl>
            <c:dLbl>
              <c:idx val="3"/>
              <c:layout>
                <c:manualLayout>
                  <c:x val="-1.0899182561307902E-2"/>
                  <c:y val="-3.741496598639462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0D6-42E8-9B1C-0894F9CF9479}"/>
                </c:ext>
              </c:extLst>
            </c:dLbl>
            <c:dLbl>
              <c:idx val="4"/>
              <c:layout>
                <c:manualLayout>
                  <c:x val="-1.6348773841961883E-2"/>
                  <c:y val="-3.741496598639464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0D6-42E8-9B1C-0894F9CF9479}"/>
                </c:ext>
              </c:extLst>
            </c:dLbl>
            <c:dLbl>
              <c:idx val="5"/>
              <c:layout>
                <c:manualLayout>
                  <c:x val="-1.4532243415077199E-2"/>
                  <c:y val="-4.0816326530612367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0D6-42E8-9B1C-0894F9CF9479}"/>
                </c:ext>
              </c:extLst>
            </c:dLbl>
            <c:dLbl>
              <c:idx val="6"/>
              <c:layout>
                <c:manualLayout>
                  <c:x val="-2.7247956403269786E-2"/>
                  <c:y val="-4.0816326530612367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0D6-42E8-9B1C-0894F9CF9479}"/>
                </c:ext>
              </c:extLst>
            </c:dLbl>
            <c:dLbl>
              <c:idx val="7"/>
              <c:layout>
                <c:manualLayout>
                  <c:x val="-2.5431425976385157E-2"/>
                  <c:y val="-4.421768707482998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F0D6-42E8-9B1C-0894F9CF9479}"/>
                </c:ext>
              </c:extLst>
            </c:dLbl>
            <c:dLbl>
              <c:idx val="8"/>
              <c:layout>
                <c:manualLayout>
                  <c:x val="-2.7247956403269855E-2"/>
                  <c:y val="-4.0816326530612367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0D6-42E8-9B1C-0894F9CF9479}"/>
                </c:ext>
              </c:extLst>
            </c:dLbl>
            <c:dLbl>
              <c:idx val="9"/>
              <c:layout>
                <c:manualLayout>
                  <c:x val="-2.7247956403269855E-2"/>
                  <c:y val="-3.741496598639464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0D6-42E8-9B1C-0894F9CF9479}"/>
                </c:ext>
              </c:extLst>
            </c:dLbl>
            <c:dLbl>
              <c:idx val="10"/>
              <c:layout>
                <c:manualLayout>
                  <c:x val="-2.7247956403269855E-2"/>
                  <c:y val="-4.0816326530612367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0D6-42E8-9B1C-0894F9CF9479}"/>
                </c:ext>
              </c:extLst>
            </c:dLbl>
            <c:dLbl>
              <c:idx val="11"/>
              <c:layout>
                <c:manualLayout>
                  <c:x val="-2.7247956403269855E-2"/>
                  <c:y val="-3.741496598639464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F0D6-42E8-9B1C-0894F9CF9479}"/>
                </c:ext>
              </c:extLst>
            </c:dLbl>
            <c:dLbl>
              <c:idx val="12"/>
              <c:layout>
                <c:manualLayout>
                  <c:x val="-2.5431425976385251E-2"/>
                  <c:y val="-4.421768707483005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F0D6-42E8-9B1C-0894F9CF9479}"/>
                </c:ext>
              </c:extLst>
            </c:dLbl>
            <c:dLbl>
              <c:idx val="13"/>
              <c:layout>
                <c:manualLayout>
                  <c:x val="-2.9064486830154373E-2"/>
                  <c:y val="-4.421768707483005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F0D6-42E8-9B1C-0894F9CF9479}"/>
                </c:ext>
              </c:extLst>
            </c:dLbl>
            <c:dLbl>
              <c:idx val="14"/>
              <c:layout>
                <c:manualLayout>
                  <c:x val="-2.1798365122615848E-2"/>
                  <c:y val="-3.4013605442176936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F0D6-42E8-9B1C-0894F9CF9479}"/>
                </c:ext>
              </c:extLst>
            </c:dLbl>
            <c:dLbl>
              <c:idx val="15"/>
              <c:layout>
                <c:manualLayout>
                  <c:x val="-2.3529411764705879E-2"/>
                  <c:y val="-2.5789813023855544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F0D6-42E8-9B1C-0894F9CF9479}"/>
                </c:ext>
              </c:extLst>
            </c:dLbl>
            <c:dLbl>
              <c:idx val="16"/>
              <c:layout>
                <c:manualLayout>
                  <c:x val="-5.2083333333333495E-3"/>
                  <c:y val="0"/>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F0D6-42E8-9B1C-0894F9CF9479}"/>
                </c:ext>
              </c:extLst>
            </c:dLbl>
            <c:dLbl>
              <c:idx val="17"/>
              <c:layout>
                <c:manualLayout>
                  <c:x val="-5.2083333333333495E-3"/>
                  <c:y val="-2.3210831721470041E-2"/>
                </c:manualLayout>
              </c:layout>
              <c:spPr/>
              <c:txPr>
                <a:bodyPr/>
                <a:lstStyle/>
                <a:p>
                  <a:pPr>
                    <a:defRPr sz="1100" b="0" i="0" u="none" strike="noStrike" baseline="0">
                      <a:solidFill>
                        <a:schemeClr val="bg1">
                          <a:lumMod val="50000"/>
                        </a:schemeClr>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F0D6-42E8-9B1C-0894F9CF9479}"/>
                </c:ext>
              </c:extLst>
            </c:dLbl>
            <c:dLbl>
              <c:idx val="18"/>
              <c:layout>
                <c:manualLayout>
                  <c:x val="-2.4847291870181312E-3"/>
                  <c:y val="-1.49719276356831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F0D6-42E8-9B1C-0894F9CF9479}"/>
                </c:ext>
              </c:extLst>
            </c:dLbl>
            <c:spPr>
              <a:noFill/>
              <a:ln w="25400">
                <a:noFill/>
              </a:ln>
            </c:spPr>
            <c:txPr>
              <a:bodyPr wrap="square" lIns="38100" tIns="19050" rIns="38100" bIns="19050" anchor="ctr">
                <a:spAutoFit/>
              </a:bodyPr>
              <a:lstStyle/>
              <a:p>
                <a:pPr>
                  <a:defRPr sz="1100" b="0" i="0" u="none" strike="noStrike" baseline="0">
                    <a:solidFill>
                      <a:schemeClr val="bg1">
                        <a:lumMod val="50000"/>
                      </a:schemeClr>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диаг.3.7!$B$2:$T$2</c:f>
              <c:numCache>
                <c:formatCode>General</c:formatCode>
                <c:ptCount val="19"/>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numCache>
            </c:numRef>
          </c:cat>
          <c:val>
            <c:numRef>
              <c:f>диаг.3.7!$B$3:$T$3</c:f>
              <c:numCache>
                <c:formatCode>General</c:formatCode>
                <c:ptCount val="19"/>
                <c:pt idx="0">
                  <c:v>900</c:v>
                </c:pt>
                <c:pt idx="1">
                  <c:v>971</c:v>
                </c:pt>
                <c:pt idx="2">
                  <c:v>992</c:v>
                </c:pt>
                <c:pt idx="3">
                  <c:v>687</c:v>
                </c:pt>
                <c:pt idx="4">
                  <c:v>572</c:v>
                </c:pt>
                <c:pt idx="5">
                  <c:v>414</c:v>
                </c:pt>
                <c:pt idx="6">
                  <c:v>379</c:v>
                </c:pt>
                <c:pt idx="7">
                  <c:v>282</c:v>
                </c:pt>
                <c:pt idx="8">
                  <c:v>237</c:v>
                </c:pt>
                <c:pt idx="9">
                  <c:v>205</c:v>
                </c:pt>
                <c:pt idx="10">
                  <c:v>191</c:v>
                </c:pt>
                <c:pt idx="11">
                  <c:v>176</c:v>
                </c:pt>
                <c:pt idx="12">
                  <c:v>119</c:v>
                </c:pt>
                <c:pt idx="13">
                  <c:v>90</c:v>
                </c:pt>
                <c:pt idx="14">
                  <c:v>79</c:v>
                </c:pt>
                <c:pt idx="15">
                  <c:v>50</c:v>
                </c:pt>
                <c:pt idx="16">
                  <c:v>41</c:v>
                </c:pt>
                <c:pt idx="17">
                  <c:v>37</c:v>
                </c:pt>
                <c:pt idx="18">
                  <c:v>39</c:v>
                </c:pt>
              </c:numCache>
            </c:numRef>
          </c:val>
          <c:smooth val="0"/>
          <c:extLst>
            <c:ext xmlns:c16="http://schemas.microsoft.com/office/drawing/2014/chart" uri="{C3380CC4-5D6E-409C-BE32-E72D297353CC}">
              <c16:uniqueId val="{00000013-F0D6-42E8-9B1C-0894F9CF9479}"/>
            </c:ext>
          </c:extLst>
        </c:ser>
        <c:ser>
          <c:idx val="1"/>
          <c:order val="1"/>
          <c:tx>
            <c:strRef>
              <c:f>диаг.3.7!$A$4</c:f>
              <c:strCache>
                <c:ptCount val="1"/>
                <c:pt idx="0">
                  <c:v>внутренняя коррозия</c:v>
                </c:pt>
              </c:strCache>
            </c:strRef>
          </c:tx>
          <c:spPr>
            <a:ln>
              <a:solidFill>
                <a:srgbClr val="FF0000"/>
              </a:solidFill>
            </a:ln>
          </c:spPr>
          <c:marker>
            <c:spPr>
              <a:solidFill>
                <a:srgbClr val="FF0000"/>
              </a:solidFill>
              <a:ln>
                <a:solidFill>
                  <a:srgbClr val="FF0000"/>
                </a:solidFill>
              </a:ln>
            </c:spPr>
          </c:marker>
          <c:dLbls>
            <c:dLbl>
              <c:idx val="1"/>
              <c:layout>
                <c:manualLayout>
                  <c:x val="-9.0826521344232816E-3"/>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F0D6-42E8-9B1C-0894F9CF9479}"/>
                </c:ext>
              </c:extLst>
            </c:dLbl>
            <c:dLbl>
              <c:idx val="2"/>
              <c:layout>
                <c:manualLayout>
                  <c:x val="-1.9981834695731251E-2"/>
                  <c:y val="-3.7414965986394579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F0D6-42E8-9B1C-0894F9CF9479}"/>
                </c:ext>
              </c:extLst>
            </c:dLbl>
            <c:dLbl>
              <c:idx val="3"/>
              <c:layout>
                <c:manualLayout>
                  <c:x val="-2.3614895549500449E-2"/>
                  <c:y val="-4.421768707483005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F0D6-42E8-9B1C-0894F9CF9479}"/>
                </c:ext>
              </c:extLst>
            </c:dLbl>
            <c:dLbl>
              <c:idx val="4"/>
              <c:layout>
                <c:manualLayout>
                  <c:x val="-1.0899182561307902E-2"/>
                  <c:y val="-3.7414965986394641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F0D6-42E8-9B1C-0894F9CF9479}"/>
                </c:ext>
              </c:extLst>
            </c:dLbl>
            <c:dLbl>
              <c:idx val="5"/>
              <c:layout>
                <c:manualLayout>
                  <c:x val="-2.1798365122615848E-2"/>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F0D6-42E8-9B1C-0894F9CF9479}"/>
                </c:ext>
              </c:extLst>
            </c:dLbl>
            <c:dLbl>
              <c:idx val="6"/>
              <c:layout>
                <c:manualLayout>
                  <c:x val="-2.7247956403269786E-2"/>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F0D6-42E8-9B1C-0894F9CF9479}"/>
                </c:ext>
              </c:extLst>
            </c:dLbl>
            <c:dLbl>
              <c:idx val="7"/>
              <c:layout>
                <c:manualLayout>
                  <c:x val="-3.0881017257039151E-2"/>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F0D6-42E8-9B1C-0894F9CF9479}"/>
                </c:ext>
              </c:extLst>
            </c:dLbl>
            <c:dLbl>
              <c:idx val="8"/>
              <c:layout>
                <c:manualLayout>
                  <c:x val="-2.9064486830154373E-2"/>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F0D6-42E8-9B1C-0894F9CF9479}"/>
                </c:ext>
              </c:extLst>
            </c:dLbl>
            <c:dLbl>
              <c:idx val="9"/>
              <c:layout>
                <c:manualLayout>
                  <c:x val="-2.9064486830154373E-2"/>
                  <c:y val="-3.7414965986394641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F0D6-42E8-9B1C-0894F9CF9479}"/>
                </c:ext>
              </c:extLst>
            </c:dLbl>
            <c:dLbl>
              <c:idx val="10"/>
              <c:layout>
                <c:manualLayout>
                  <c:x val="-2.3614895549500449E-2"/>
                  <c:y val="-4.0816326530612367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F0D6-42E8-9B1C-0894F9CF9479}"/>
                </c:ext>
              </c:extLst>
            </c:dLbl>
            <c:dLbl>
              <c:idx val="11"/>
              <c:layout>
                <c:manualLayout>
                  <c:x val="-3.2697547683923849E-2"/>
                  <c:y val="-2.7210884353741478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F0D6-42E8-9B1C-0894F9CF9479}"/>
                </c:ext>
              </c:extLst>
            </c:dLbl>
            <c:dLbl>
              <c:idx val="12"/>
              <c:layout>
                <c:manualLayout>
                  <c:x val="-5.4495912806541043E-3"/>
                  <c:y val="-6.8027210884353834E-3"/>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F0D6-42E8-9B1C-0894F9CF9479}"/>
                </c:ext>
              </c:extLst>
            </c:dLbl>
            <c:dLbl>
              <c:idx val="13"/>
              <c:layout>
                <c:manualLayout>
                  <c:x val="-9.0826521344232816E-3"/>
                  <c:y val="-2.0408163265306142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F0D6-42E8-9B1C-0894F9CF9479}"/>
                </c:ext>
              </c:extLst>
            </c:dLbl>
            <c:dLbl>
              <c:idx val="14"/>
              <c:layout>
                <c:manualLayout>
                  <c:x val="-1.3071895424836603E-2"/>
                  <c:y val="-2.2987049249404808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F0D6-42E8-9B1C-0894F9CF9479}"/>
                </c:ext>
              </c:extLst>
            </c:dLbl>
            <c:dLbl>
              <c:idx val="15"/>
              <c:layout>
                <c:manualLayout>
                  <c:x val="-3.5294117647058851E-2"/>
                  <c:y val="-1.0315925209542241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F0D6-42E8-9B1C-0894F9CF9479}"/>
                </c:ext>
              </c:extLst>
            </c:dLbl>
            <c:dLbl>
              <c:idx val="16"/>
              <c:layout>
                <c:manualLayout>
                  <c:x val="-2.0879265091863608E-2"/>
                  <c:y val="-3.3526756931012182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3-F0D6-42E8-9B1C-0894F9CF9479}"/>
                </c:ext>
              </c:extLst>
            </c:dLbl>
            <c:dLbl>
              <c:idx val="17"/>
              <c:layout>
                <c:manualLayout>
                  <c:x val="-1.9531250000000003E-2"/>
                  <c:y val="-3.8684719535783382E-2"/>
                </c:manualLayout>
              </c:layout>
              <c:spPr/>
              <c:txPr>
                <a:bodyPr/>
                <a:lstStyle/>
                <a:p>
                  <a:pPr>
                    <a:defRPr sz="1100" b="0" i="0" u="none" strike="noStrike" baseline="0">
                      <a:solidFill>
                        <a:srgbClr val="FF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4-F0D6-42E8-9B1C-0894F9CF9479}"/>
                </c:ext>
              </c:extLst>
            </c:dLbl>
            <c:dLbl>
              <c:idx val="18"/>
              <c:layout>
                <c:manualLayout>
                  <c:x val="-2.2362562683163233E-2"/>
                  <c:y val="-3.24391765439801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5-F0D6-42E8-9B1C-0894F9CF9479}"/>
                </c:ext>
              </c:extLst>
            </c:dLbl>
            <c:spPr>
              <a:noFill/>
              <a:ln w="25400">
                <a:noFill/>
              </a:ln>
            </c:spPr>
            <c:txPr>
              <a:bodyPr/>
              <a:lstStyle/>
              <a:p>
                <a:pPr>
                  <a:defRPr sz="1100" b="0" i="0" u="none" strike="noStrike" baseline="0">
                    <a:solidFill>
                      <a:srgbClr val="FF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диаг.3.7!$B$2:$T$2</c:f>
              <c:numCache>
                <c:formatCode>General</c:formatCode>
                <c:ptCount val="19"/>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numCache>
            </c:numRef>
          </c:cat>
          <c:val>
            <c:numRef>
              <c:f>диаг.3.7!$B$4:$T$4</c:f>
              <c:numCache>
                <c:formatCode>General</c:formatCode>
                <c:ptCount val="19"/>
                <c:pt idx="0">
                  <c:v>656</c:v>
                </c:pt>
                <c:pt idx="1">
                  <c:v>348</c:v>
                </c:pt>
                <c:pt idx="2">
                  <c:v>309</c:v>
                </c:pt>
                <c:pt idx="3">
                  <c:v>234</c:v>
                </c:pt>
                <c:pt idx="4">
                  <c:v>66</c:v>
                </c:pt>
                <c:pt idx="5">
                  <c:v>59</c:v>
                </c:pt>
                <c:pt idx="6">
                  <c:v>34</c:v>
                </c:pt>
                <c:pt idx="7">
                  <c:v>49</c:v>
                </c:pt>
                <c:pt idx="8">
                  <c:v>70</c:v>
                </c:pt>
                <c:pt idx="9">
                  <c:v>85</c:v>
                </c:pt>
                <c:pt idx="10">
                  <c:v>51</c:v>
                </c:pt>
                <c:pt idx="11">
                  <c:v>89</c:v>
                </c:pt>
                <c:pt idx="12">
                  <c:v>66</c:v>
                </c:pt>
                <c:pt idx="13">
                  <c:v>46</c:v>
                </c:pt>
                <c:pt idx="14">
                  <c:v>32</c:v>
                </c:pt>
                <c:pt idx="15">
                  <c:v>40</c:v>
                </c:pt>
                <c:pt idx="16">
                  <c:v>49</c:v>
                </c:pt>
                <c:pt idx="17">
                  <c:v>93</c:v>
                </c:pt>
                <c:pt idx="18">
                  <c:v>87</c:v>
                </c:pt>
              </c:numCache>
            </c:numRef>
          </c:val>
          <c:smooth val="0"/>
          <c:extLst>
            <c:ext xmlns:c16="http://schemas.microsoft.com/office/drawing/2014/chart" uri="{C3380CC4-5D6E-409C-BE32-E72D297353CC}">
              <c16:uniqueId val="{00000026-F0D6-42E8-9B1C-0894F9CF9479}"/>
            </c:ext>
          </c:extLst>
        </c:ser>
        <c:ser>
          <c:idx val="2"/>
          <c:order val="2"/>
          <c:tx>
            <c:strRef>
              <c:f>диаг.3.7!$A$5</c:f>
              <c:strCache>
                <c:ptCount val="1"/>
                <c:pt idx="0">
                  <c:v>внутренняя +наружная коррозия </c:v>
                </c:pt>
              </c:strCache>
            </c:strRef>
          </c:tx>
          <c:spPr>
            <a:ln w="25400">
              <a:solidFill>
                <a:srgbClr val="00B050"/>
              </a:solidFill>
              <a:prstDash val="solid"/>
            </a:ln>
          </c:spPr>
          <c:marker>
            <c:spPr>
              <a:solidFill>
                <a:srgbClr val="00B050"/>
              </a:solidFill>
              <a:ln>
                <a:solidFill>
                  <a:srgbClr val="00B050"/>
                </a:solidFill>
              </a:ln>
            </c:spPr>
          </c:marker>
          <c:dLbls>
            <c:dLbl>
              <c:idx val="0"/>
              <c:layout>
                <c:manualLayout>
                  <c:x val="-2.5431425976385157E-2"/>
                  <c:y val="-4.0816326530612367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7-F0D6-42E8-9B1C-0894F9CF9479}"/>
                </c:ext>
              </c:extLst>
            </c:dLbl>
            <c:dLbl>
              <c:idx val="1"/>
              <c:layout>
                <c:manualLayout>
                  <c:x val="-2.1798365122615848E-2"/>
                  <c:y val="-4.421768707483005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8-F0D6-42E8-9B1C-0894F9CF9479}"/>
                </c:ext>
              </c:extLst>
            </c:dLbl>
            <c:dLbl>
              <c:idx val="2"/>
              <c:layout>
                <c:manualLayout>
                  <c:x val="-2.5431425976385185E-2"/>
                  <c:y val="-4.0816326530612367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9-F0D6-42E8-9B1C-0894F9CF9479}"/>
                </c:ext>
              </c:extLst>
            </c:dLbl>
            <c:dLbl>
              <c:idx val="3"/>
              <c:layout>
                <c:manualLayout>
                  <c:x val="-2.1798365122615848E-2"/>
                  <c:y val="-3.4013605442176936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A-F0D6-42E8-9B1C-0894F9CF9479}"/>
                </c:ext>
              </c:extLst>
            </c:dLbl>
            <c:dLbl>
              <c:idx val="4"/>
              <c:layout>
                <c:manualLayout>
                  <c:x val="-2.7247956403269855E-2"/>
                  <c:y val="1.360544217687074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B-F0D6-42E8-9B1C-0894F9CF9479}"/>
                </c:ext>
              </c:extLst>
            </c:dLbl>
            <c:dLbl>
              <c:idx val="5"/>
              <c:layout>
                <c:manualLayout>
                  <c:x val="-7.266121707538614E-3"/>
                  <c:y val="2.0408163265306142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C-F0D6-42E8-9B1C-0894F9CF9479}"/>
                </c:ext>
              </c:extLst>
            </c:dLbl>
            <c:dLbl>
              <c:idx val="6"/>
              <c:layout>
                <c:manualLayout>
                  <c:x val="-2.7247956403269786E-2"/>
                  <c:y val="3.0612244897959211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D-F0D6-42E8-9B1C-0894F9CF9479}"/>
                </c:ext>
              </c:extLst>
            </c:dLbl>
            <c:dLbl>
              <c:idx val="7"/>
              <c:layout>
                <c:manualLayout>
                  <c:x val="-2.1798365122615848E-2"/>
                  <c:y val="3.0612244897959211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E-F0D6-42E8-9B1C-0894F9CF9479}"/>
                </c:ext>
              </c:extLst>
            </c:dLbl>
            <c:dLbl>
              <c:idx val="8"/>
              <c:layout>
                <c:manualLayout>
                  <c:x val="-7.266121707538614E-3"/>
                  <c:y val="1.360544217687074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F-F0D6-42E8-9B1C-0894F9CF9479}"/>
                </c:ext>
              </c:extLst>
            </c:dLbl>
            <c:dLbl>
              <c:idx val="9"/>
              <c:layout>
                <c:manualLayout>
                  <c:x val="-1.271571298819253E-2"/>
                  <c:y val="1.360544217687074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0-F0D6-42E8-9B1C-0894F9CF9479}"/>
                </c:ext>
              </c:extLst>
            </c:dLbl>
            <c:dLbl>
              <c:idx val="10"/>
              <c:layout>
                <c:manualLayout>
                  <c:x val="-2.1798365122615848E-2"/>
                  <c:y val="2.0408163265306142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1-F0D6-42E8-9B1C-0894F9CF9479}"/>
                </c:ext>
              </c:extLst>
            </c:dLbl>
            <c:dLbl>
              <c:idx val="11"/>
              <c:layout>
                <c:manualLayout>
                  <c:x val="-1.0899182561307902E-2"/>
                  <c:y val="1.360544217687074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2-F0D6-42E8-9B1C-0894F9CF9479}"/>
                </c:ext>
              </c:extLst>
            </c:dLbl>
            <c:dLbl>
              <c:idx val="12"/>
              <c:layout>
                <c:manualLayout>
                  <c:x val="-9.0826521344234152E-3"/>
                  <c:y val="1.360544217687074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3-F0D6-42E8-9B1C-0894F9CF9479}"/>
                </c:ext>
              </c:extLst>
            </c:dLbl>
            <c:dLbl>
              <c:idx val="13"/>
              <c:layout>
                <c:manualLayout>
                  <c:x val="-1.0899182561307902E-2"/>
                  <c:y val="1.7006802721088437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4-F0D6-42E8-9B1C-0894F9CF9479}"/>
                </c:ext>
              </c:extLst>
            </c:dLbl>
            <c:dLbl>
              <c:idx val="14"/>
              <c:layout>
                <c:manualLayout>
                  <c:x val="-2.9064486830154373E-2"/>
                  <c:y val="2.3809523809523812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5-F0D6-42E8-9B1C-0894F9CF9479}"/>
                </c:ext>
              </c:extLst>
            </c:dLbl>
            <c:dLbl>
              <c:idx val="15"/>
              <c:layout>
                <c:manualLayout>
                  <c:x val="-2.4775364993438308E-2"/>
                  <c:y val="1.289490651192778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6-F0D6-42E8-9B1C-0894F9CF9479}"/>
                </c:ext>
              </c:extLst>
            </c:dLbl>
            <c:dLbl>
              <c:idx val="16"/>
              <c:layout>
                <c:manualLayout>
                  <c:x val="-2.746626886482947E-2"/>
                  <c:y val="1.2894906511927788E-2"/>
                </c:manualLayout>
              </c:layout>
              <c:spPr/>
              <c:txPr>
                <a:bodyPr/>
                <a:lstStyle/>
                <a:p>
                  <a:pPr>
                    <a:defRPr sz="1100" b="0" i="0" u="none" strike="noStrike" baseline="0">
                      <a:solidFill>
                        <a:srgbClr val="808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7-F0D6-42E8-9B1C-0894F9CF9479}"/>
                </c:ext>
              </c:extLst>
            </c:dLbl>
            <c:dLbl>
              <c:idx val="17"/>
              <c:delete val="1"/>
              <c:extLst>
                <c:ext xmlns:c15="http://schemas.microsoft.com/office/drawing/2012/chart" uri="{CE6537A1-D6FC-4f65-9D91-7224C49458BB}"/>
                <c:ext xmlns:c16="http://schemas.microsoft.com/office/drawing/2014/chart" uri="{C3380CC4-5D6E-409C-BE32-E72D297353CC}">
                  <c16:uniqueId val="{00000038-F0D6-42E8-9B1C-0894F9CF9479}"/>
                </c:ext>
              </c:extLst>
            </c:dLbl>
            <c:spPr>
              <a:noFill/>
              <a:ln w="25400">
                <a:noFill/>
              </a:ln>
            </c:spPr>
            <c:txPr>
              <a:bodyPr/>
              <a:lstStyle/>
              <a:p>
                <a:pPr>
                  <a:defRPr sz="1100" b="0" i="0" u="none" strike="noStrike" baseline="0">
                    <a:solidFill>
                      <a:srgbClr val="808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диаг.3.7!$B$2:$T$2</c:f>
              <c:numCache>
                <c:formatCode>General</c:formatCode>
                <c:ptCount val="19"/>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numCache>
            </c:numRef>
          </c:cat>
          <c:val>
            <c:numRef>
              <c:f>диаг.3.7!$B$5:$T$5</c:f>
              <c:numCache>
                <c:formatCode>General</c:formatCode>
                <c:ptCount val="19"/>
                <c:pt idx="0">
                  <c:v>89</c:v>
                </c:pt>
                <c:pt idx="1">
                  <c:v>92</c:v>
                </c:pt>
                <c:pt idx="2">
                  <c:v>90</c:v>
                </c:pt>
                <c:pt idx="3">
                  <c:v>61</c:v>
                </c:pt>
                <c:pt idx="4">
                  <c:v>11</c:v>
                </c:pt>
                <c:pt idx="5">
                  <c:v>3</c:v>
                </c:pt>
                <c:pt idx="6">
                  <c:v>12</c:v>
                </c:pt>
                <c:pt idx="7">
                  <c:v>5</c:v>
                </c:pt>
                <c:pt idx="8">
                  <c:v>0</c:v>
                </c:pt>
                <c:pt idx="9">
                  <c:v>0</c:v>
                </c:pt>
                <c:pt idx="10">
                  <c:v>0</c:v>
                </c:pt>
                <c:pt idx="11">
                  <c:v>0</c:v>
                </c:pt>
                <c:pt idx="12">
                  <c:v>0</c:v>
                </c:pt>
                <c:pt idx="13">
                  <c:v>0</c:v>
                </c:pt>
                <c:pt idx="14">
                  <c:v>0</c:v>
                </c:pt>
                <c:pt idx="15">
                  <c:v>0</c:v>
                </c:pt>
                <c:pt idx="16">
                  <c:v>0</c:v>
                </c:pt>
                <c:pt idx="17">
                  <c:v>0</c:v>
                </c:pt>
                <c:pt idx="18">
                  <c:v>0</c:v>
                </c:pt>
              </c:numCache>
            </c:numRef>
          </c:val>
          <c:smooth val="0"/>
          <c:extLst>
            <c:ext xmlns:c16="http://schemas.microsoft.com/office/drawing/2014/chart" uri="{C3380CC4-5D6E-409C-BE32-E72D297353CC}">
              <c16:uniqueId val="{00000039-F0D6-42E8-9B1C-0894F9CF9479}"/>
            </c:ext>
          </c:extLst>
        </c:ser>
        <c:ser>
          <c:idx val="3"/>
          <c:order val="3"/>
          <c:tx>
            <c:strRef>
              <c:f>диаг.3.7!$A$6</c:f>
              <c:strCache>
                <c:ptCount val="1"/>
                <c:pt idx="0">
                  <c:v>прочие</c:v>
                </c:pt>
              </c:strCache>
            </c:strRef>
          </c:tx>
          <c:spPr>
            <a:ln w="25400">
              <a:solidFill>
                <a:schemeClr val="accent1">
                  <a:lumMod val="60000"/>
                  <a:lumOff val="40000"/>
                </a:schemeClr>
              </a:solidFill>
              <a:prstDash val="solid"/>
            </a:ln>
          </c:spPr>
          <c:dLbls>
            <c:dLbl>
              <c:idx val="0"/>
              <c:layout>
                <c:manualLayout>
                  <c:x val="-3.4514078110808359E-2"/>
                  <c:y val="-1.3605442176870748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A-F0D6-42E8-9B1C-0894F9CF9479}"/>
                </c:ext>
              </c:extLst>
            </c:dLbl>
            <c:dLbl>
              <c:idx val="1"/>
              <c:layout>
                <c:manualLayout>
                  <c:x val="-2.5431425976385157E-2"/>
                  <c:y val="2.0408163265306142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B-F0D6-42E8-9B1C-0894F9CF9479}"/>
                </c:ext>
              </c:extLst>
            </c:dLbl>
            <c:dLbl>
              <c:idx val="2"/>
              <c:layout>
                <c:manualLayout>
                  <c:x val="-2.5431425976385185E-2"/>
                  <c:y val="2.7210884353741478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C-F0D6-42E8-9B1C-0894F9CF9479}"/>
                </c:ext>
              </c:extLst>
            </c:dLbl>
            <c:dLbl>
              <c:idx val="3"/>
              <c:layout>
                <c:manualLayout>
                  <c:x val="-1.9981834695731213E-2"/>
                  <c:y val="3.0612244897959211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D-F0D6-42E8-9B1C-0894F9CF9479}"/>
                </c:ext>
              </c:extLst>
            </c:dLbl>
            <c:dLbl>
              <c:idx val="4"/>
              <c:layout>
                <c:manualLayout>
                  <c:x val="-3.9963669391462307E-2"/>
                  <c:y val="-3.0612244897959211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E-F0D6-42E8-9B1C-0894F9CF9479}"/>
                </c:ext>
              </c:extLst>
            </c:dLbl>
            <c:dLbl>
              <c:idx val="5"/>
              <c:layout>
                <c:manualLayout>
                  <c:x val="-3.9963669391462307E-2"/>
                  <c:y val="-1.3605442176870748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3F-F0D6-42E8-9B1C-0894F9CF9479}"/>
                </c:ext>
              </c:extLst>
            </c:dLbl>
            <c:dLbl>
              <c:idx val="6"/>
              <c:layout>
                <c:manualLayout>
                  <c:x val="-5.0862851952770294E-2"/>
                  <c:y val="-3.4013605442176943E-3"/>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0-F0D6-42E8-9B1C-0894F9CF9479}"/>
                </c:ext>
              </c:extLst>
            </c:dLbl>
            <c:dLbl>
              <c:idx val="8"/>
              <c:layout>
                <c:manualLayout>
                  <c:x val="-9.0826521344232816E-3"/>
                  <c:y val="-2.0408163265306142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1-F0D6-42E8-9B1C-0894F9CF9479}"/>
                </c:ext>
              </c:extLst>
            </c:dLbl>
            <c:dLbl>
              <c:idx val="9"/>
              <c:layout>
                <c:manualLayout>
                  <c:x val="-1.8165304268846535E-2"/>
                  <c:y val="-2.0408163265306142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2-F0D6-42E8-9B1C-0894F9CF9479}"/>
                </c:ext>
              </c:extLst>
            </c:dLbl>
            <c:dLbl>
              <c:idx val="10"/>
              <c:layout>
                <c:manualLayout>
                  <c:x val="-9.0826521344232816E-3"/>
                  <c:y val="-1.3605442176870748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3-F0D6-42E8-9B1C-0894F9CF9479}"/>
                </c:ext>
              </c:extLst>
            </c:dLbl>
            <c:dLbl>
              <c:idx val="11"/>
              <c:layout>
                <c:manualLayout>
                  <c:x val="-1.8165304268846535E-2"/>
                  <c:y val="-2.0408163265306142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4-F0D6-42E8-9B1C-0894F9CF9479}"/>
                </c:ext>
              </c:extLst>
            </c:dLbl>
            <c:dLbl>
              <c:idx val="12"/>
              <c:layout>
                <c:manualLayout>
                  <c:x val="-3.6330608537693203E-2"/>
                  <c:y val="-1.7006802721088437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5-F0D6-42E8-9B1C-0894F9CF9479}"/>
                </c:ext>
              </c:extLst>
            </c:dLbl>
            <c:dLbl>
              <c:idx val="13"/>
              <c:layout>
                <c:manualLayout>
                  <c:x val="-1.8165304268846542E-3"/>
                  <c:y val="-6.8029889121002732E-3"/>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6-F0D6-42E8-9B1C-0894F9CF9479}"/>
                </c:ext>
              </c:extLst>
            </c:dLbl>
            <c:dLbl>
              <c:idx val="14"/>
              <c:layout>
                <c:manualLayout>
                  <c:x val="0"/>
                  <c:y val="1.3605442176870748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7-F0D6-42E8-9B1C-0894F9CF9479}"/>
                </c:ext>
              </c:extLst>
            </c:dLbl>
            <c:dLbl>
              <c:idx val="16"/>
              <c:layout>
                <c:manualLayout>
                  <c:x val="1.0252624671916037E-5"/>
                  <c:y val="1.5473887814313371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8-F0D6-42E8-9B1C-0894F9CF9479}"/>
                </c:ext>
              </c:extLst>
            </c:dLbl>
            <c:dLbl>
              <c:idx val="17"/>
              <c:layout>
                <c:manualLayout>
                  <c:x val="-1.3020833333333365E-3"/>
                  <c:y val="1.5473887814313371E-2"/>
                </c:manualLayout>
              </c:layout>
              <c:spPr/>
              <c:txPr>
                <a:bodyPr/>
                <a:lstStyle/>
                <a:p>
                  <a:pPr>
                    <a:defRPr sz="1100" b="0" i="0" u="none" strike="noStrike" baseline="0">
                      <a:solidFill>
                        <a:sysClr val="windowText" lastClr="000000"/>
                      </a:solidFill>
                      <a:latin typeface="Calibri"/>
                      <a:ea typeface="Calibri"/>
                      <a:cs typeface="Calibri"/>
                    </a:defRPr>
                  </a:pPr>
                  <a:endParaRPr lang="ru-RU"/>
                </a:p>
              </c:txPr>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49-F0D6-42E8-9B1C-0894F9CF9479}"/>
                </c:ext>
              </c:extLst>
            </c:dLbl>
            <c:spPr>
              <a:noFill/>
              <a:ln w="25400">
                <a:noFill/>
              </a:ln>
            </c:spPr>
            <c:txPr>
              <a:bodyPr/>
              <a:lstStyle/>
              <a:p>
                <a:pPr>
                  <a:defRPr sz="1100" b="0" i="0" u="none" strike="noStrike" baseline="0">
                    <a:solidFill>
                      <a:sysClr val="windowText" lastClr="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диаг.3.7!$B$2:$T$2</c:f>
              <c:numCache>
                <c:formatCode>General</c:formatCode>
                <c:ptCount val="19"/>
                <c:pt idx="0">
                  <c:v>1999</c:v>
                </c:pt>
                <c:pt idx="1">
                  <c:v>2000</c:v>
                </c:pt>
                <c:pt idx="2">
                  <c:v>2001</c:v>
                </c:pt>
                <c:pt idx="3">
                  <c:v>2002</c:v>
                </c:pt>
                <c:pt idx="4">
                  <c:v>2003</c:v>
                </c:pt>
                <c:pt idx="5">
                  <c:v>2004</c:v>
                </c:pt>
                <c:pt idx="6">
                  <c:v>2005</c:v>
                </c:pt>
                <c:pt idx="7">
                  <c:v>2006</c:v>
                </c:pt>
                <c:pt idx="8">
                  <c:v>2007</c:v>
                </c:pt>
                <c:pt idx="9">
                  <c:v>2008</c:v>
                </c:pt>
                <c:pt idx="10">
                  <c:v>2009</c:v>
                </c:pt>
                <c:pt idx="11">
                  <c:v>2010</c:v>
                </c:pt>
                <c:pt idx="12">
                  <c:v>2011</c:v>
                </c:pt>
                <c:pt idx="13">
                  <c:v>2012</c:v>
                </c:pt>
                <c:pt idx="14">
                  <c:v>2013</c:v>
                </c:pt>
                <c:pt idx="15">
                  <c:v>2014</c:v>
                </c:pt>
                <c:pt idx="16">
                  <c:v>2015</c:v>
                </c:pt>
                <c:pt idx="17">
                  <c:v>2016</c:v>
                </c:pt>
                <c:pt idx="18">
                  <c:v>2017</c:v>
                </c:pt>
              </c:numCache>
            </c:numRef>
          </c:cat>
          <c:val>
            <c:numRef>
              <c:f>диаг.3.7!$B$6:$T$6</c:f>
              <c:numCache>
                <c:formatCode>General</c:formatCode>
                <c:ptCount val="19"/>
                <c:pt idx="0">
                  <c:v>0</c:v>
                </c:pt>
                <c:pt idx="1">
                  <c:v>48</c:v>
                </c:pt>
                <c:pt idx="2">
                  <c:v>40</c:v>
                </c:pt>
                <c:pt idx="3">
                  <c:v>50</c:v>
                </c:pt>
                <c:pt idx="4">
                  <c:v>25</c:v>
                </c:pt>
                <c:pt idx="5">
                  <c:v>20</c:v>
                </c:pt>
                <c:pt idx="6">
                  <c:v>13</c:v>
                </c:pt>
                <c:pt idx="7">
                  <c:v>30</c:v>
                </c:pt>
                <c:pt idx="8">
                  <c:v>7</c:v>
                </c:pt>
                <c:pt idx="9">
                  <c:v>12</c:v>
                </c:pt>
                <c:pt idx="10">
                  <c:v>9</c:v>
                </c:pt>
                <c:pt idx="11">
                  <c:v>8</c:v>
                </c:pt>
                <c:pt idx="12">
                  <c:v>11</c:v>
                </c:pt>
                <c:pt idx="13">
                  <c:v>15</c:v>
                </c:pt>
                <c:pt idx="14">
                  <c:v>11</c:v>
                </c:pt>
                <c:pt idx="15">
                  <c:v>15</c:v>
                </c:pt>
                <c:pt idx="16">
                  <c:v>9</c:v>
                </c:pt>
                <c:pt idx="17">
                  <c:v>20</c:v>
                </c:pt>
                <c:pt idx="18">
                  <c:v>13</c:v>
                </c:pt>
              </c:numCache>
            </c:numRef>
          </c:val>
          <c:smooth val="0"/>
          <c:extLst>
            <c:ext xmlns:c16="http://schemas.microsoft.com/office/drawing/2014/chart" uri="{C3380CC4-5D6E-409C-BE32-E72D297353CC}">
              <c16:uniqueId val="{0000004A-F0D6-42E8-9B1C-0894F9CF9479}"/>
            </c:ext>
          </c:extLst>
        </c:ser>
        <c:dLbls>
          <c:showLegendKey val="0"/>
          <c:showVal val="0"/>
          <c:showCatName val="0"/>
          <c:showSerName val="0"/>
          <c:showPercent val="0"/>
          <c:showBubbleSize val="0"/>
        </c:dLbls>
        <c:marker val="1"/>
        <c:smooth val="0"/>
        <c:axId val="122917632"/>
        <c:axId val="122919168"/>
      </c:lineChart>
      <c:catAx>
        <c:axId val="122917632"/>
        <c:scaling>
          <c:orientation val="minMax"/>
        </c:scaling>
        <c:delete val="0"/>
        <c:axPos val="b"/>
        <c:numFmt formatCode="General" sourceLinked="1"/>
        <c:majorTickMark val="none"/>
        <c:minorTickMark val="none"/>
        <c:tickLblPos val="nextTo"/>
        <c:txPr>
          <a:bodyPr rot="0" vert="horz"/>
          <a:lstStyle/>
          <a:p>
            <a:pPr>
              <a:defRPr sz="800" b="0" i="0" u="none" strike="noStrike" baseline="0">
                <a:solidFill>
                  <a:srgbClr val="000000"/>
                </a:solidFill>
                <a:latin typeface="Times New Roman"/>
                <a:ea typeface="Times New Roman"/>
                <a:cs typeface="Times New Roman"/>
              </a:defRPr>
            </a:pPr>
            <a:endParaRPr lang="ru-RU"/>
          </a:p>
        </c:txPr>
        <c:crossAx val="122919168"/>
        <c:crosses val="autoZero"/>
        <c:auto val="1"/>
        <c:lblAlgn val="ctr"/>
        <c:lblOffset val="100"/>
        <c:noMultiLvlLbl val="0"/>
      </c:catAx>
      <c:valAx>
        <c:axId val="122919168"/>
        <c:scaling>
          <c:orientation val="minMax"/>
          <c:max val="1000"/>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2917632"/>
        <c:crosses val="autoZero"/>
        <c:crossBetween val="between"/>
      </c:valAx>
      <c:spPr>
        <a:noFill/>
        <a:ln w="25400">
          <a:noFill/>
        </a:ln>
      </c:spPr>
    </c:plotArea>
    <c:legend>
      <c:legendPos val="b"/>
      <c:overlay val="0"/>
      <c:spPr>
        <a:ln>
          <a:solidFill>
            <a:schemeClr val="tx1">
              <a:lumMod val="50000"/>
              <a:lumOff val="50000"/>
            </a:schemeClr>
          </a:solidFill>
        </a:ln>
      </c:spPr>
      <c:txPr>
        <a:bodyPr/>
        <a:lstStyle/>
        <a:p>
          <a:pPr>
            <a:defRPr sz="60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1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Распределение порывов по назначению трубопроводов за 2015-2017гг</a:t>
            </a:r>
          </a:p>
        </c:rich>
      </c:tx>
      <c:overlay val="0"/>
    </c:title>
    <c:autoTitleDeleted val="0"/>
    <c:plotArea>
      <c:layout/>
      <c:barChart>
        <c:barDir val="col"/>
        <c:grouping val="clustered"/>
        <c:varyColors val="0"/>
        <c:ser>
          <c:idx val="0"/>
          <c:order val="0"/>
          <c:tx>
            <c:strRef>
              <c:f>диаг.3.8!$A$10</c:f>
              <c:strCache>
                <c:ptCount val="1"/>
                <c:pt idx="0">
                  <c:v>2015</c:v>
                </c:pt>
              </c:strCache>
            </c:strRef>
          </c:tx>
          <c:spPr>
            <a:solidFill>
              <a:schemeClr val="bg1">
                <a:lumMod val="50000"/>
              </a:schemeClr>
            </a:solidFill>
          </c:spPr>
          <c:invertIfNegative val="0"/>
          <c:dLbls>
            <c:dLbl>
              <c:idx val="1"/>
              <c:layout>
                <c:manualLayout>
                  <c:x val="-1.8091361374943465E-3"/>
                  <c:y val="1.1644832605531322E-2"/>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A9E-4DB8-AE91-FB5A11DFB9A2}"/>
                </c:ext>
              </c:extLst>
            </c:dLbl>
            <c:dLbl>
              <c:idx val="12"/>
              <c:layout>
                <c:manualLayout>
                  <c:x val="-1.9900497512437859E-2"/>
                  <c:y val="0"/>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A9E-4DB8-AE91-FB5A11DFB9A2}"/>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диаг.3.8!$B$1:$N$2</c:f>
              <c:multiLvlStrCache>
                <c:ptCount val="13"/>
                <c:lvl>
                  <c:pt idx="0">
                    <c:v>НК</c:v>
                  </c:pt>
                  <c:pt idx="1">
                    <c:v>ВК</c:v>
                  </c:pt>
                  <c:pt idx="2">
                    <c:v>прочие</c:v>
                  </c:pt>
                  <c:pt idx="3">
                    <c:v>всего</c:v>
                  </c:pt>
                  <c:pt idx="4">
                    <c:v>НК</c:v>
                  </c:pt>
                  <c:pt idx="5">
                    <c:v>ВК</c:v>
                  </c:pt>
                  <c:pt idx="6">
                    <c:v>прочие</c:v>
                  </c:pt>
                  <c:pt idx="7">
                    <c:v>всего</c:v>
                  </c:pt>
                  <c:pt idx="8">
                    <c:v>НК</c:v>
                  </c:pt>
                  <c:pt idx="9">
                    <c:v>ВК</c:v>
                  </c:pt>
                  <c:pt idx="10">
                    <c:v>прочие</c:v>
                  </c:pt>
                  <c:pt idx="11">
                    <c:v>всего</c:v>
                  </c:pt>
                </c:lvl>
                <c:lvl>
                  <c:pt idx="0">
                    <c:v>выкидные</c:v>
                  </c:pt>
                  <c:pt idx="4">
                    <c:v>н/сборные</c:v>
                  </c:pt>
                  <c:pt idx="8">
                    <c:v>напорные</c:v>
                  </c:pt>
                  <c:pt idx="12">
                    <c:v>всего</c:v>
                  </c:pt>
                </c:lvl>
              </c:multiLvlStrCache>
            </c:multiLvlStrRef>
          </c:cat>
          <c:val>
            <c:numRef>
              <c:f>диаг.3.8!$B$10:$N$10</c:f>
              <c:numCache>
                <c:formatCode>General</c:formatCode>
                <c:ptCount val="13"/>
                <c:pt idx="0">
                  <c:v>23</c:v>
                </c:pt>
                <c:pt idx="1">
                  <c:v>27</c:v>
                </c:pt>
                <c:pt idx="2">
                  <c:v>6</c:v>
                </c:pt>
                <c:pt idx="3">
                  <c:v>56</c:v>
                </c:pt>
                <c:pt idx="4">
                  <c:v>14</c:v>
                </c:pt>
                <c:pt idx="5">
                  <c:v>18</c:v>
                </c:pt>
                <c:pt idx="6">
                  <c:v>3</c:v>
                </c:pt>
                <c:pt idx="7">
                  <c:v>35</c:v>
                </c:pt>
                <c:pt idx="8">
                  <c:v>4</c:v>
                </c:pt>
                <c:pt idx="9">
                  <c:v>4</c:v>
                </c:pt>
                <c:pt idx="10">
                  <c:v>0</c:v>
                </c:pt>
                <c:pt idx="11">
                  <c:v>8</c:v>
                </c:pt>
                <c:pt idx="12">
                  <c:v>99</c:v>
                </c:pt>
              </c:numCache>
            </c:numRef>
          </c:val>
          <c:extLst>
            <c:ext xmlns:c16="http://schemas.microsoft.com/office/drawing/2014/chart" uri="{C3380CC4-5D6E-409C-BE32-E72D297353CC}">
              <c16:uniqueId val="{00000002-0A9E-4DB8-AE91-FB5A11DFB9A2}"/>
            </c:ext>
          </c:extLst>
        </c:ser>
        <c:ser>
          <c:idx val="1"/>
          <c:order val="1"/>
          <c:tx>
            <c:strRef>
              <c:f>диаг.3.8!$A$11</c:f>
              <c:strCache>
                <c:ptCount val="1"/>
                <c:pt idx="0">
                  <c:v>2016</c:v>
                </c:pt>
              </c:strCache>
            </c:strRef>
          </c:tx>
          <c:spPr>
            <a:solidFill>
              <a:srgbClr val="FF0000"/>
            </a:solidFill>
          </c:spPr>
          <c:invertIfNegative val="0"/>
          <c:dLbls>
            <c:dLbl>
              <c:idx val="12"/>
              <c:layout>
                <c:manualLayout>
                  <c:x val="3.6181298233244623E-3"/>
                  <c:y val="0"/>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0A9E-4DB8-AE91-FB5A11DFB9A2}"/>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диаг.3.8!$B$1:$N$2</c:f>
              <c:multiLvlStrCache>
                <c:ptCount val="13"/>
                <c:lvl>
                  <c:pt idx="0">
                    <c:v>НК</c:v>
                  </c:pt>
                  <c:pt idx="1">
                    <c:v>ВК</c:v>
                  </c:pt>
                  <c:pt idx="2">
                    <c:v>прочие</c:v>
                  </c:pt>
                  <c:pt idx="3">
                    <c:v>всего</c:v>
                  </c:pt>
                  <c:pt idx="4">
                    <c:v>НК</c:v>
                  </c:pt>
                  <c:pt idx="5">
                    <c:v>ВК</c:v>
                  </c:pt>
                  <c:pt idx="6">
                    <c:v>прочие</c:v>
                  </c:pt>
                  <c:pt idx="7">
                    <c:v>всего</c:v>
                  </c:pt>
                  <c:pt idx="8">
                    <c:v>НК</c:v>
                  </c:pt>
                  <c:pt idx="9">
                    <c:v>ВК</c:v>
                  </c:pt>
                  <c:pt idx="10">
                    <c:v>прочие</c:v>
                  </c:pt>
                  <c:pt idx="11">
                    <c:v>всего</c:v>
                  </c:pt>
                </c:lvl>
                <c:lvl>
                  <c:pt idx="0">
                    <c:v>выкидные</c:v>
                  </c:pt>
                  <c:pt idx="4">
                    <c:v>н/сборные</c:v>
                  </c:pt>
                  <c:pt idx="8">
                    <c:v>напорные</c:v>
                  </c:pt>
                  <c:pt idx="12">
                    <c:v>всего</c:v>
                  </c:pt>
                </c:lvl>
              </c:multiLvlStrCache>
            </c:multiLvlStrRef>
          </c:cat>
          <c:val>
            <c:numRef>
              <c:f>диаг.3.8!$B$11:$N$11</c:f>
              <c:numCache>
                <c:formatCode>General</c:formatCode>
                <c:ptCount val="13"/>
                <c:pt idx="0">
                  <c:v>20</c:v>
                </c:pt>
                <c:pt idx="1">
                  <c:v>53</c:v>
                </c:pt>
                <c:pt idx="2">
                  <c:v>10</c:v>
                </c:pt>
                <c:pt idx="3">
                  <c:v>83</c:v>
                </c:pt>
                <c:pt idx="4">
                  <c:v>14</c:v>
                </c:pt>
                <c:pt idx="5">
                  <c:v>34</c:v>
                </c:pt>
                <c:pt idx="6">
                  <c:v>7</c:v>
                </c:pt>
                <c:pt idx="7">
                  <c:v>55</c:v>
                </c:pt>
                <c:pt idx="8">
                  <c:v>3</c:v>
                </c:pt>
                <c:pt idx="9">
                  <c:v>6</c:v>
                </c:pt>
                <c:pt idx="10">
                  <c:v>3</c:v>
                </c:pt>
                <c:pt idx="11">
                  <c:v>12</c:v>
                </c:pt>
                <c:pt idx="12">
                  <c:v>150</c:v>
                </c:pt>
              </c:numCache>
            </c:numRef>
          </c:val>
          <c:extLst>
            <c:ext xmlns:c16="http://schemas.microsoft.com/office/drawing/2014/chart" uri="{C3380CC4-5D6E-409C-BE32-E72D297353CC}">
              <c16:uniqueId val="{00000004-0A9E-4DB8-AE91-FB5A11DFB9A2}"/>
            </c:ext>
          </c:extLst>
        </c:ser>
        <c:ser>
          <c:idx val="2"/>
          <c:order val="2"/>
          <c:tx>
            <c:strRef>
              <c:f>диаг.3.8!$A$12</c:f>
              <c:strCache>
                <c:ptCount val="1"/>
                <c:pt idx="0">
                  <c:v>2017</c:v>
                </c:pt>
              </c:strCache>
            </c:strRef>
          </c:tx>
          <c:spPr>
            <a:solidFill>
              <a:srgbClr val="00B050"/>
            </a:solidFill>
          </c:spPr>
          <c:invertIfNegative val="0"/>
          <c:dLbls>
            <c:dLbl>
              <c:idx val="1"/>
              <c:layout>
                <c:manualLayout>
                  <c:x val="5.4274084124830511E-3"/>
                  <c:y val="0"/>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A9E-4DB8-AE91-FB5A11DFB9A2}"/>
                </c:ext>
              </c:extLst>
            </c:dLbl>
            <c:dLbl>
              <c:idx val="2"/>
              <c:layout>
                <c:manualLayout>
                  <c:x val="9.0456806874717327E-3"/>
                  <c:y val="8.7336244541484746E-3"/>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A9E-4DB8-AE91-FB5A11DFB9A2}"/>
                </c:ext>
              </c:extLst>
            </c:dLbl>
            <c:dLbl>
              <c:idx val="3"/>
              <c:layout>
                <c:manualLayout>
                  <c:x val="5.4274084124830511E-3"/>
                  <c:y val="-5.3371532889516601E-17"/>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A9E-4DB8-AE91-FB5A11DFB9A2}"/>
                </c:ext>
              </c:extLst>
            </c:dLbl>
            <c:dLbl>
              <c:idx val="12"/>
              <c:layout>
                <c:manualLayout>
                  <c:x val="1.085481682496608E-2"/>
                  <c:y val="2.911208151382824E-3"/>
                </c:manualLayout>
              </c:layout>
              <c:spPr/>
              <c:txPr>
                <a:bodyPr/>
                <a:lstStyle/>
                <a:p>
                  <a:pPr>
                    <a:defRPr sz="1000" b="1"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A9E-4DB8-AE91-FB5A11DFB9A2}"/>
                </c:ext>
              </c:extLst>
            </c:dLbl>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диаг.3.8!$B$1:$N$2</c:f>
              <c:multiLvlStrCache>
                <c:ptCount val="13"/>
                <c:lvl>
                  <c:pt idx="0">
                    <c:v>НК</c:v>
                  </c:pt>
                  <c:pt idx="1">
                    <c:v>ВК</c:v>
                  </c:pt>
                  <c:pt idx="2">
                    <c:v>прочие</c:v>
                  </c:pt>
                  <c:pt idx="3">
                    <c:v>всего</c:v>
                  </c:pt>
                  <c:pt idx="4">
                    <c:v>НК</c:v>
                  </c:pt>
                  <c:pt idx="5">
                    <c:v>ВК</c:v>
                  </c:pt>
                  <c:pt idx="6">
                    <c:v>прочие</c:v>
                  </c:pt>
                  <c:pt idx="7">
                    <c:v>всего</c:v>
                  </c:pt>
                  <c:pt idx="8">
                    <c:v>НК</c:v>
                  </c:pt>
                  <c:pt idx="9">
                    <c:v>ВК</c:v>
                  </c:pt>
                  <c:pt idx="10">
                    <c:v>прочие</c:v>
                  </c:pt>
                  <c:pt idx="11">
                    <c:v>всего</c:v>
                  </c:pt>
                </c:lvl>
                <c:lvl>
                  <c:pt idx="0">
                    <c:v>выкидные</c:v>
                  </c:pt>
                  <c:pt idx="4">
                    <c:v>н/сборные</c:v>
                  </c:pt>
                  <c:pt idx="8">
                    <c:v>напорные</c:v>
                  </c:pt>
                  <c:pt idx="12">
                    <c:v>всего</c:v>
                  </c:pt>
                </c:lvl>
              </c:multiLvlStrCache>
            </c:multiLvlStrRef>
          </c:cat>
          <c:val>
            <c:numRef>
              <c:f>диаг.3.8!$B$12:$N$12</c:f>
              <c:numCache>
                <c:formatCode>General</c:formatCode>
                <c:ptCount val="13"/>
                <c:pt idx="0">
                  <c:v>31</c:v>
                </c:pt>
                <c:pt idx="1">
                  <c:v>55</c:v>
                </c:pt>
                <c:pt idx="2">
                  <c:v>9</c:v>
                </c:pt>
                <c:pt idx="3">
                  <c:v>95</c:v>
                </c:pt>
                <c:pt idx="4">
                  <c:v>6</c:v>
                </c:pt>
                <c:pt idx="5">
                  <c:v>25</c:v>
                </c:pt>
                <c:pt idx="6">
                  <c:v>3</c:v>
                </c:pt>
                <c:pt idx="7">
                  <c:v>34</c:v>
                </c:pt>
                <c:pt idx="8">
                  <c:v>2</c:v>
                </c:pt>
                <c:pt idx="9">
                  <c:v>7</c:v>
                </c:pt>
                <c:pt idx="10">
                  <c:v>1</c:v>
                </c:pt>
                <c:pt idx="11">
                  <c:v>10</c:v>
                </c:pt>
                <c:pt idx="12">
                  <c:v>139</c:v>
                </c:pt>
              </c:numCache>
            </c:numRef>
          </c:val>
          <c:extLst>
            <c:ext xmlns:c16="http://schemas.microsoft.com/office/drawing/2014/chart" uri="{C3380CC4-5D6E-409C-BE32-E72D297353CC}">
              <c16:uniqueId val="{00000009-0A9E-4DB8-AE91-FB5A11DFB9A2}"/>
            </c:ext>
          </c:extLst>
        </c:ser>
        <c:dLbls>
          <c:showLegendKey val="0"/>
          <c:showVal val="0"/>
          <c:showCatName val="0"/>
          <c:showSerName val="0"/>
          <c:showPercent val="0"/>
          <c:showBubbleSize val="0"/>
        </c:dLbls>
        <c:gapWidth val="75"/>
        <c:axId val="119643520"/>
        <c:axId val="119649408"/>
      </c:barChart>
      <c:catAx>
        <c:axId val="119643520"/>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19649408"/>
        <c:crosses val="autoZero"/>
        <c:auto val="1"/>
        <c:lblAlgn val="ctr"/>
        <c:lblOffset val="100"/>
        <c:noMultiLvlLbl val="0"/>
      </c:catAx>
      <c:valAx>
        <c:axId val="119649408"/>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19643520"/>
        <c:crosses val="autoZero"/>
        <c:crossBetween val="between"/>
      </c:valAx>
    </c:plotArea>
    <c:legend>
      <c:legendPos val="b"/>
      <c:layout>
        <c:manualLayout>
          <c:xMode val="edge"/>
          <c:yMode val="edge"/>
          <c:x val="0.33645957755959016"/>
          <c:y val="0.93311602425242657"/>
          <c:w val="0.33612652556829387"/>
          <c:h val="4.9416726839276358E-2"/>
        </c:manualLayout>
      </c:layout>
      <c:overlay val="0"/>
      <c:txPr>
        <a:bodyPr/>
        <a:lstStyle/>
        <a:p>
          <a:pPr>
            <a:defRPr sz="545"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Порывность нефтепроводов по причине наружной коррозии</a:t>
            </a:r>
          </a:p>
        </c:rich>
      </c:tx>
      <c:overlay val="0"/>
    </c:title>
    <c:autoTitleDeleted val="0"/>
    <c:plotArea>
      <c:layout>
        <c:manualLayout>
          <c:layoutTarget val="inner"/>
          <c:xMode val="edge"/>
          <c:yMode val="edge"/>
          <c:x val="5.5905866976370851E-2"/>
          <c:y val="0.10743817022872154"/>
          <c:w val="0.924247493420563"/>
          <c:h val="0.72823967004124479"/>
        </c:manualLayout>
      </c:layout>
      <c:barChart>
        <c:barDir val="col"/>
        <c:grouping val="clustered"/>
        <c:varyColors val="0"/>
        <c:ser>
          <c:idx val="0"/>
          <c:order val="0"/>
          <c:tx>
            <c:strRef>
              <c:f>диаг.3.9!$B$10</c:f>
              <c:strCache>
                <c:ptCount val="1"/>
                <c:pt idx="0">
                  <c:v>2015г</c:v>
                </c:pt>
              </c:strCache>
            </c:strRef>
          </c:tx>
          <c:spPr>
            <a:solidFill>
              <a:schemeClr val="bg1">
                <a:lumMod val="50000"/>
              </a:schemeClr>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диаг.3.9!$C$1:$K$1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диаг.3.9!$C$10:$K$10</c:f>
              <c:numCache>
                <c:formatCode>0</c:formatCode>
                <c:ptCount val="9"/>
                <c:pt idx="0" formatCode="General">
                  <c:v>1</c:v>
                </c:pt>
                <c:pt idx="1">
                  <c:v>7</c:v>
                </c:pt>
                <c:pt idx="2" formatCode="General">
                  <c:v>6</c:v>
                </c:pt>
                <c:pt idx="3" formatCode="General">
                  <c:v>5</c:v>
                </c:pt>
                <c:pt idx="4" formatCode="General">
                  <c:v>7</c:v>
                </c:pt>
                <c:pt idx="5" formatCode="General">
                  <c:v>15</c:v>
                </c:pt>
                <c:pt idx="6" formatCode="General">
                  <c:v>0</c:v>
                </c:pt>
                <c:pt idx="7" formatCode="General">
                  <c:v>0</c:v>
                </c:pt>
                <c:pt idx="8" formatCode="General">
                  <c:v>41</c:v>
                </c:pt>
              </c:numCache>
            </c:numRef>
          </c:val>
          <c:extLst>
            <c:ext xmlns:c16="http://schemas.microsoft.com/office/drawing/2014/chart" uri="{C3380CC4-5D6E-409C-BE32-E72D297353CC}">
              <c16:uniqueId val="{00000000-9E93-43CE-9E07-947FFE0296CC}"/>
            </c:ext>
          </c:extLst>
        </c:ser>
        <c:ser>
          <c:idx val="1"/>
          <c:order val="1"/>
          <c:tx>
            <c:strRef>
              <c:f>диаг.3.9!$B$11</c:f>
              <c:strCache>
                <c:ptCount val="1"/>
                <c:pt idx="0">
                  <c:v>2016г</c:v>
                </c:pt>
              </c:strCache>
            </c:strRef>
          </c:tx>
          <c:spPr>
            <a:solidFill>
              <a:srgbClr val="FF000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диаг.3.9!$C$1:$K$1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диаг.3.9!$C$11:$K$11</c:f>
              <c:numCache>
                <c:formatCode>General</c:formatCode>
                <c:ptCount val="9"/>
                <c:pt idx="0">
                  <c:v>0</c:v>
                </c:pt>
                <c:pt idx="1">
                  <c:v>17</c:v>
                </c:pt>
                <c:pt idx="2">
                  <c:v>3</c:v>
                </c:pt>
                <c:pt idx="3">
                  <c:v>6</c:v>
                </c:pt>
                <c:pt idx="4">
                  <c:v>7</c:v>
                </c:pt>
                <c:pt idx="5">
                  <c:v>4</c:v>
                </c:pt>
                <c:pt idx="6">
                  <c:v>0</c:v>
                </c:pt>
                <c:pt idx="7">
                  <c:v>0</c:v>
                </c:pt>
                <c:pt idx="8">
                  <c:v>37</c:v>
                </c:pt>
              </c:numCache>
            </c:numRef>
          </c:val>
          <c:extLst>
            <c:ext xmlns:c16="http://schemas.microsoft.com/office/drawing/2014/chart" uri="{C3380CC4-5D6E-409C-BE32-E72D297353CC}">
              <c16:uniqueId val="{00000001-9E93-43CE-9E07-947FFE0296CC}"/>
            </c:ext>
          </c:extLst>
        </c:ser>
        <c:ser>
          <c:idx val="2"/>
          <c:order val="2"/>
          <c:tx>
            <c:strRef>
              <c:f>диаг.3.9!$B$12</c:f>
              <c:strCache>
                <c:ptCount val="1"/>
                <c:pt idx="0">
                  <c:v>2017г</c:v>
                </c:pt>
              </c:strCache>
            </c:strRef>
          </c:tx>
          <c:spPr>
            <a:solidFill>
              <a:srgbClr val="00B05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диаг.3.9!$C$1:$K$1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диаг.3.9!$C$12:$K$12</c:f>
              <c:numCache>
                <c:formatCode>General</c:formatCode>
                <c:ptCount val="9"/>
                <c:pt idx="0">
                  <c:v>1</c:v>
                </c:pt>
                <c:pt idx="1">
                  <c:v>14</c:v>
                </c:pt>
                <c:pt idx="2">
                  <c:v>1</c:v>
                </c:pt>
                <c:pt idx="3">
                  <c:v>4</c:v>
                </c:pt>
                <c:pt idx="4">
                  <c:v>9</c:v>
                </c:pt>
                <c:pt idx="5">
                  <c:v>10</c:v>
                </c:pt>
                <c:pt idx="8">
                  <c:v>39</c:v>
                </c:pt>
              </c:numCache>
            </c:numRef>
          </c:val>
          <c:extLst>
            <c:ext xmlns:c16="http://schemas.microsoft.com/office/drawing/2014/chart" uri="{C3380CC4-5D6E-409C-BE32-E72D297353CC}">
              <c16:uniqueId val="{00000002-9E93-43CE-9E07-947FFE0296CC}"/>
            </c:ext>
          </c:extLst>
        </c:ser>
        <c:dLbls>
          <c:showLegendKey val="0"/>
          <c:showVal val="0"/>
          <c:showCatName val="0"/>
          <c:showSerName val="0"/>
          <c:showPercent val="0"/>
          <c:showBubbleSize val="0"/>
        </c:dLbls>
        <c:gapWidth val="75"/>
        <c:axId val="137768320"/>
        <c:axId val="137774208"/>
      </c:barChart>
      <c:catAx>
        <c:axId val="137768320"/>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7774208"/>
        <c:crosses val="autoZero"/>
        <c:auto val="1"/>
        <c:lblAlgn val="ctr"/>
        <c:lblOffset val="100"/>
        <c:noMultiLvlLbl val="0"/>
      </c:catAx>
      <c:valAx>
        <c:axId val="137774208"/>
        <c:scaling>
          <c:orientation val="minMax"/>
        </c:scaling>
        <c:delete val="0"/>
        <c:axPos val="l"/>
        <c:numFmt formatCode="General" sourceLinked="1"/>
        <c:majorTickMark val="none"/>
        <c:minorTickMark val="none"/>
        <c:tickLblPos val="nextTo"/>
        <c:spPr>
          <a:noFill/>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7768320"/>
        <c:crosses val="autoZero"/>
        <c:crossBetween val="between"/>
      </c:valAx>
    </c:plotArea>
    <c:legend>
      <c:legendPos val="b"/>
      <c:overlay val="0"/>
      <c:txPr>
        <a:bodyPr/>
        <a:lstStyle/>
        <a:p>
          <a:pPr>
            <a:defRPr sz="545"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Порывность нефтепроводов по причине внутренней коррозии</a:t>
            </a:r>
          </a:p>
        </c:rich>
      </c:tx>
      <c:overlay val="0"/>
    </c:title>
    <c:autoTitleDeleted val="0"/>
    <c:plotArea>
      <c:layout>
        <c:manualLayout>
          <c:layoutTarget val="inner"/>
          <c:xMode val="edge"/>
          <c:yMode val="edge"/>
          <c:x val="5.5905866976370851E-2"/>
          <c:y val="0.10743817022872154"/>
          <c:w val="0.924247493420563"/>
          <c:h val="0.72823967004124479"/>
        </c:manualLayout>
      </c:layout>
      <c:barChart>
        <c:barDir val="col"/>
        <c:grouping val="clustered"/>
        <c:varyColors val="0"/>
        <c:ser>
          <c:idx val="0"/>
          <c:order val="0"/>
          <c:tx>
            <c:strRef>
              <c:f>диаг.3.10!$B$10</c:f>
              <c:strCache>
                <c:ptCount val="1"/>
                <c:pt idx="0">
                  <c:v>2015г</c:v>
                </c:pt>
              </c:strCache>
            </c:strRef>
          </c:tx>
          <c:spPr>
            <a:solidFill>
              <a:schemeClr val="bg1">
                <a:lumMod val="50000"/>
              </a:schemeClr>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диаг.3.10!$C$1:$K$1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диаг.3.10!$C$10:$K$10</c:f>
              <c:numCache>
                <c:formatCode>General</c:formatCode>
                <c:ptCount val="9"/>
                <c:pt idx="0">
                  <c:v>1</c:v>
                </c:pt>
                <c:pt idx="1">
                  <c:v>4</c:v>
                </c:pt>
                <c:pt idx="2">
                  <c:v>2</c:v>
                </c:pt>
                <c:pt idx="3">
                  <c:v>18</c:v>
                </c:pt>
                <c:pt idx="4">
                  <c:v>11</c:v>
                </c:pt>
                <c:pt idx="5">
                  <c:v>8</c:v>
                </c:pt>
                <c:pt idx="6">
                  <c:v>0</c:v>
                </c:pt>
                <c:pt idx="7">
                  <c:v>1</c:v>
                </c:pt>
                <c:pt idx="8">
                  <c:v>45</c:v>
                </c:pt>
              </c:numCache>
            </c:numRef>
          </c:val>
          <c:extLst>
            <c:ext xmlns:c16="http://schemas.microsoft.com/office/drawing/2014/chart" uri="{C3380CC4-5D6E-409C-BE32-E72D297353CC}">
              <c16:uniqueId val="{00000000-5D36-45FB-B04B-633444E83CA6}"/>
            </c:ext>
          </c:extLst>
        </c:ser>
        <c:ser>
          <c:idx val="1"/>
          <c:order val="1"/>
          <c:tx>
            <c:strRef>
              <c:f>диаг.3.10!$B$11</c:f>
              <c:strCache>
                <c:ptCount val="1"/>
                <c:pt idx="0">
                  <c:v>2016г</c:v>
                </c:pt>
              </c:strCache>
            </c:strRef>
          </c:tx>
          <c:spPr>
            <a:solidFill>
              <a:srgbClr val="FF000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диаг.3.10!$C$1:$K$1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диаг.3.10!$C$11:$K$11</c:f>
              <c:numCache>
                <c:formatCode>General</c:formatCode>
                <c:ptCount val="9"/>
                <c:pt idx="0">
                  <c:v>2</c:v>
                </c:pt>
                <c:pt idx="1">
                  <c:v>24</c:v>
                </c:pt>
                <c:pt idx="2">
                  <c:v>3</c:v>
                </c:pt>
                <c:pt idx="3">
                  <c:v>32</c:v>
                </c:pt>
                <c:pt idx="4">
                  <c:v>17</c:v>
                </c:pt>
                <c:pt idx="5">
                  <c:v>15</c:v>
                </c:pt>
                <c:pt idx="6">
                  <c:v>0</c:v>
                </c:pt>
                <c:pt idx="7">
                  <c:v>0</c:v>
                </c:pt>
                <c:pt idx="8">
                  <c:v>93</c:v>
                </c:pt>
              </c:numCache>
            </c:numRef>
          </c:val>
          <c:extLst>
            <c:ext xmlns:c16="http://schemas.microsoft.com/office/drawing/2014/chart" uri="{C3380CC4-5D6E-409C-BE32-E72D297353CC}">
              <c16:uniqueId val="{00000001-5D36-45FB-B04B-633444E83CA6}"/>
            </c:ext>
          </c:extLst>
        </c:ser>
        <c:ser>
          <c:idx val="2"/>
          <c:order val="2"/>
          <c:tx>
            <c:strRef>
              <c:f>диаг.3.10!$B$12</c:f>
              <c:strCache>
                <c:ptCount val="1"/>
                <c:pt idx="0">
                  <c:v>2017г</c:v>
                </c:pt>
              </c:strCache>
            </c:strRef>
          </c:tx>
          <c:spPr>
            <a:solidFill>
              <a:srgbClr val="00B05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диаг.3.10!$C$1:$K$1</c:f>
              <c:strCache>
                <c:ptCount val="9"/>
                <c:pt idx="0">
                  <c:v>ЦДНГ -1</c:v>
                </c:pt>
                <c:pt idx="1">
                  <c:v>ЦДНГ-2</c:v>
                </c:pt>
                <c:pt idx="2">
                  <c:v>ЦДНГ-4</c:v>
                </c:pt>
                <c:pt idx="3">
                  <c:v>ЦДНГ-5</c:v>
                </c:pt>
                <c:pt idx="4">
                  <c:v>ЦДНГ-6</c:v>
                </c:pt>
                <c:pt idx="5">
                  <c:v>ЦДНГ-7</c:v>
                </c:pt>
                <c:pt idx="6">
                  <c:v>ЦКППН-1</c:v>
                </c:pt>
                <c:pt idx="7">
                  <c:v>ЦКППН-2</c:v>
                </c:pt>
                <c:pt idx="8">
                  <c:v>НГДУ</c:v>
                </c:pt>
              </c:strCache>
            </c:strRef>
          </c:cat>
          <c:val>
            <c:numRef>
              <c:f>диаг.3.10!$C$12:$K$12</c:f>
              <c:numCache>
                <c:formatCode>General</c:formatCode>
                <c:ptCount val="9"/>
                <c:pt idx="0">
                  <c:v>0</c:v>
                </c:pt>
                <c:pt idx="1">
                  <c:v>25</c:v>
                </c:pt>
                <c:pt idx="2">
                  <c:v>6</c:v>
                </c:pt>
                <c:pt idx="3">
                  <c:v>33</c:v>
                </c:pt>
                <c:pt idx="4">
                  <c:v>12</c:v>
                </c:pt>
                <c:pt idx="5">
                  <c:v>11</c:v>
                </c:pt>
                <c:pt idx="8">
                  <c:v>87</c:v>
                </c:pt>
              </c:numCache>
            </c:numRef>
          </c:val>
          <c:extLst>
            <c:ext xmlns:c16="http://schemas.microsoft.com/office/drawing/2014/chart" uri="{C3380CC4-5D6E-409C-BE32-E72D297353CC}">
              <c16:uniqueId val="{00000002-5D36-45FB-B04B-633444E83CA6}"/>
            </c:ext>
          </c:extLst>
        </c:ser>
        <c:dLbls>
          <c:showLegendKey val="0"/>
          <c:showVal val="0"/>
          <c:showCatName val="0"/>
          <c:showSerName val="0"/>
          <c:showPercent val="0"/>
          <c:showBubbleSize val="0"/>
        </c:dLbls>
        <c:gapWidth val="75"/>
        <c:axId val="137760128"/>
        <c:axId val="127153280"/>
      </c:barChart>
      <c:catAx>
        <c:axId val="137760128"/>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27153280"/>
        <c:crosses val="autoZero"/>
        <c:auto val="1"/>
        <c:lblAlgn val="ctr"/>
        <c:lblOffset val="100"/>
        <c:noMultiLvlLbl val="0"/>
      </c:catAx>
      <c:valAx>
        <c:axId val="127153280"/>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37760128"/>
        <c:crosses val="autoZero"/>
        <c:crossBetween val="between"/>
      </c:valAx>
    </c:plotArea>
    <c:legend>
      <c:legendPos val="b"/>
      <c:overlay val="0"/>
      <c:txPr>
        <a:bodyPr/>
        <a:lstStyle/>
        <a:p>
          <a:pPr>
            <a:defRPr sz="5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Динамика строительства, капитального и кусочного ремонта нефтепроводов за 2010-2017гг</a:t>
            </a:r>
          </a:p>
        </c:rich>
      </c:tx>
      <c:overlay val="0"/>
    </c:title>
    <c:autoTitleDeleted val="0"/>
    <c:plotArea>
      <c:layout/>
      <c:areaChart>
        <c:grouping val="standard"/>
        <c:varyColors val="0"/>
        <c:ser>
          <c:idx val="0"/>
          <c:order val="0"/>
          <c:tx>
            <c:strRef>
              <c:f>Лист1!$A$3</c:f>
              <c:strCache>
                <c:ptCount val="1"/>
                <c:pt idx="0">
                  <c:v>кол-во порывов, шт</c:v>
                </c:pt>
              </c:strCache>
            </c:strRef>
          </c:tx>
          <c:spPr>
            <a:solidFill>
              <a:srgbClr val="CCFFFF"/>
            </a:solidFill>
          </c:spPr>
          <c:dLbls>
            <c:dLbl>
              <c:idx val="0"/>
              <c:layout>
                <c:manualLayout>
                  <c:x val="1.3639968415418164E-3"/>
                  <c:y val="-0.3840776728390629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26C-4458-BB32-2DCC7A66D34D}"/>
                </c:ext>
              </c:extLst>
            </c:dLbl>
            <c:dLbl>
              <c:idx val="1"/>
              <c:layout>
                <c:manualLayout>
                  <c:x val="1.3639968415417793E-3"/>
                  <c:y val="-0.2546601961215518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26C-4458-BB32-2DCC7A66D34D}"/>
                </c:ext>
              </c:extLst>
            </c:dLbl>
            <c:dLbl>
              <c:idx val="2"/>
              <c:layout>
                <c:manualLayout>
                  <c:x val="0"/>
                  <c:y val="-0.2212621376138074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26C-4458-BB32-2DCC7A66D34D}"/>
                </c:ext>
              </c:extLst>
            </c:dLbl>
            <c:dLbl>
              <c:idx val="3"/>
              <c:layout>
                <c:manualLayout>
                  <c:x val="0"/>
                  <c:y val="-0.1899514577627974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26C-4458-BB32-2DCC7A66D34D}"/>
                </c:ext>
              </c:extLst>
            </c:dLbl>
            <c:dLbl>
              <c:idx val="4"/>
              <c:layout>
                <c:manualLayout>
                  <c:x val="2.7279936830836085E-3"/>
                  <c:y val="-0.1127184474636377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26C-4458-BB32-2DCC7A66D34D}"/>
                </c:ext>
              </c:extLst>
            </c:dLbl>
            <c:dLbl>
              <c:idx val="5"/>
              <c:layout>
                <c:manualLayout>
                  <c:x val="-9.5479778907926124E-3"/>
                  <c:y val="-0.1127186118241618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26C-4458-BB32-2DCC7A66D34D}"/>
                </c:ext>
              </c:extLst>
            </c:dLbl>
            <c:dLbl>
              <c:idx val="6"/>
              <c:layout>
                <c:manualLayout>
                  <c:x val="1.3639968415418023E-2"/>
                  <c:y val="-0.18160194313586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126C-4458-BB32-2DCC7A66D34D}"/>
                </c:ext>
              </c:extLst>
            </c:dLbl>
            <c:dLbl>
              <c:idx val="7"/>
              <c:layout>
                <c:manualLayout>
                  <c:x val="0"/>
                  <c:y val="-0.2066504870166692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26C-4458-BB32-2DCC7A66D34D}"/>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Лист1!$B$3:$I$3</c:f>
              <c:numCache>
                <c:formatCode>General</c:formatCode>
                <c:ptCount val="8"/>
                <c:pt idx="0">
                  <c:v>273</c:v>
                </c:pt>
                <c:pt idx="1">
                  <c:v>196</c:v>
                </c:pt>
                <c:pt idx="2">
                  <c:v>151</c:v>
                </c:pt>
                <c:pt idx="3">
                  <c:v>122</c:v>
                </c:pt>
                <c:pt idx="4">
                  <c:v>105</c:v>
                </c:pt>
                <c:pt idx="5">
                  <c:v>98</c:v>
                </c:pt>
                <c:pt idx="6">
                  <c:v>150</c:v>
                </c:pt>
                <c:pt idx="7">
                  <c:v>139</c:v>
                </c:pt>
              </c:numCache>
            </c:numRef>
          </c:val>
          <c:extLst>
            <c:ext xmlns:c16="http://schemas.microsoft.com/office/drawing/2014/chart" uri="{C3380CC4-5D6E-409C-BE32-E72D297353CC}">
              <c16:uniqueId val="{00000008-126C-4458-BB32-2DCC7A66D34D}"/>
            </c:ext>
          </c:extLst>
        </c:ser>
        <c:dLbls>
          <c:showLegendKey val="0"/>
          <c:showVal val="0"/>
          <c:showCatName val="0"/>
          <c:showSerName val="0"/>
          <c:showPercent val="0"/>
          <c:showBubbleSize val="0"/>
        </c:dLbls>
        <c:axId val="127235200"/>
        <c:axId val="127236736"/>
      </c:areaChart>
      <c:lineChart>
        <c:grouping val="standard"/>
        <c:varyColors val="0"/>
        <c:ser>
          <c:idx val="1"/>
          <c:order val="1"/>
          <c:tx>
            <c:strRef>
              <c:f>Лист1!$A$4</c:f>
              <c:strCache>
                <c:ptCount val="1"/>
                <c:pt idx="0">
                  <c:v>кап.строит, км</c:v>
                </c:pt>
              </c:strCache>
            </c:strRef>
          </c:tx>
          <c:dLbls>
            <c:dLbl>
              <c:idx val="7"/>
              <c:layout>
                <c:manualLayout>
                  <c:x val="-1.7049960519272523E-3"/>
                  <c:y val="4.696601977651572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26C-4458-BB32-2DCC7A66D34D}"/>
                </c:ext>
              </c:extLst>
            </c:dLbl>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Лист1!$B$4:$I$4</c:f>
              <c:numCache>
                <c:formatCode>General</c:formatCode>
                <c:ptCount val="8"/>
                <c:pt idx="0">
                  <c:v>39.879999999999995</c:v>
                </c:pt>
                <c:pt idx="1">
                  <c:v>47.849999999999994</c:v>
                </c:pt>
                <c:pt idx="2">
                  <c:v>50.1</c:v>
                </c:pt>
                <c:pt idx="3">
                  <c:v>58.1</c:v>
                </c:pt>
                <c:pt idx="4">
                  <c:v>53.2</c:v>
                </c:pt>
                <c:pt idx="5">
                  <c:v>40.700000000000003</c:v>
                </c:pt>
                <c:pt idx="6">
                  <c:v>34.6</c:v>
                </c:pt>
                <c:pt idx="7">
                  <c:v>30.6</c:v>
                </c:pt>
              </c:numCache>
            </c:numRef>
          </c:val>
          <c:smooth val="0"/>
          <c:extLst>
            <c:ext xmlns:c16="http://schemas.microsoft.com/office/drawing/2014/chart" uri="{C3380CC4-5D6E-409C-BE32-E72D297353CC}">
              <c16:uniqueId val="{0000000A-126C-4458-BB32-2DCC7A66D34D}"/>
            </c:ext>
          </c:extLst>
        </c:ser>
        <c:ser>
          <c:idx val="2"/>
          <c:order val="2"/>
          <c:tx>
            <c:strRef>
              <c:f>Лист1!$A$5</c:f>
              <c:strCache>
                <c:ptCount val="1"/>
                <c:pt idx="0">
                  <c:v>кап.ремонт, км</c:v>
                </c:pt>
              </c:strCache>
            </c:strRef>
          </c:tx>
          <c:dLbls>
            <c:dLbl>
              <c:idx val="3"/>
              <c:layout>
                <c:manualLayout>
                  <c:x val="-2.4892942358137885E-2"/>
                  <c:y val="2.97451458584600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26C-4458-BB32-2DCC7A66D34D}"/>
                </c:ext>
              </c:extLst>
            </c:dLbl>
            <c:dLbl>
              <c:idx val="4"/>
              <c:layout>
                <c:manualLayout>
                  <c:x val="-2.5762570895615362E-2"/>
                  <c:y val="-3.15246772534567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26C-4458-BB32-2DCC7A66D34D}"/>
                </c:ext>
              </c:extLst>
            </c:dLbl>
            <c:dLbl>
              <c:idx val="7"/>
              <c:layout>
                <c:manualLayout>
                  <c:x val="-2.386994472698157E-3"/>
                  <c:y val="4.6966019776515724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26C-4458-BB32-2DCC7A66D34D}"/>
                </c:ext>
              </c:extLst>
            </c:dLbl>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Лист1!$B$5:$I$5</c:f>
              <c:numCache>
                <c:formatCode>General</c:formatCode>
                <c:ptCount val="8"/>
                <c:pt idx="0">
                  <c:v>11.58</c:v>
                </c:pt>
                <c:pt idx="1">
                  <c:v>37.630000000000003</c:v>
                </c:pt>
                <c:pt idx="2">
                  <c:v>23.4</c:v>
                </c:pt>
                <c:pt idx="3" formatCode="0.0">
                  <c:v>26</c:v>
                </c:pt>
                <c:pt idx="4">
                  <c:v>27.4</c:v>
                </c:pt>
                <c:pt idx="5" formatCode="0.0">
                  <c:v>24</c:v>
                </c:pt>
                <c:pt idx="6">
                  <c:v>22.7</c:v>
                </c:pt>
                <c:pt idx="7">
                  <c:v>28.68</c:v>
                </c:pt>
              </c:numCache>
            </c:numRef>
          </c:val>
          <c:smooth val="0"/>
          <c:extLst>
            <c:ext xmlns:c16="http://schemas.microsoft.com/office/drawing/2014/chart" uri="{C3380CC4-5D6E-409C-BE32-E72D297353CC}">
              <c16:uniqueId val="{0000000E-126C-4458-BB32-2DCC7A66D34D}"/>
            </c:ext>
          </c:extLst>
        </c:ser>
        <c:ser>
          <c:idx val="3"/>
          <c:order val="3"/>
          <c:tx>
            <c:strRef>
              <c:f>Лист1!$A$6</c:f>
              <c:strCache>
                <c:ptCount val="1"/>
                <c:pt idx="0">
                  <c:v>кус.ремонт, км</c:v>
                </c:pt>
              </c:strCache>
            </c:strRef>
          </c:tx>
          <c:marker>
            <c:symbol val="diamond"/>
            <c:size val="7"/>
          </c:marker>
          <c:dLbls>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Лист1!$B$6:$I$6</c:f>
              <c:numCache>
                <c:formatCode>General</c:formatCode>
                <c:ptCount val="8"/>
                <c:pt idx="0">
                  <c:v>2.2400000000000002</c:v>
                </c:pt>
                <c:pt idx="1">
                  <c:v>1.282</c:v>
                </c:pt>
                <c:pt idx="2">
                  <c:v>1.611</c:v>
                </c:pt>
                <c:pt idx="3">
                  <c:v>1.665</c:v>
                </c:pt>
                <c:pt idx="4">
                  <c:v>2.2999999999999998</c:v>
                </c:pt>
                <c:pt idx="5">
                  <c:v>2</c:v>
                </c:pt>
                <c:pt idx="6">
                  <c:v>2.3199999999999967</c:v>
                </c:pt>
                <c:pt idx="7">
                  <c:v>2.54</c:v>
                </c:pt>
              </c:numCache>
            </c:numRef>
          </c:val>
          <c:smooth val="0"/>
          <c:extLst>
            <c:ext xmlns:c16="http://schemas.microsoft.com/office/drawing/2014/chart" uri="{C3380CC4-5D6E-409C-BE32-E72D297353CC}">
              <c16:uniqueId val="{0000000F-126C-4458-BB32-2DCC7A66D34D}"/>
            </c:ext>
          </c:extLst>
        </c:ser>
        <c:dLbls>
          <c:showLegendKey val="0"/>
          <c:showVal val="0"/>
          <c:showCatName val="0"/>
          <c:showSerName val="0"/>
          <c:showPercent val="0"/>
          <c:showBubbleSize val="0"/>
        </c:dLbls>
        <c:marker val="1"/>
        <c:smooth val="0"/>
        <c:axId val="127199104"/>
        <c:axId val="127200640"/>
      </c:lineChart>
      <c:catAx>
        <c:axId val="12719910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7200640"/>
        <c:crosses val="autoZero"/>
        <c:auto val="1"/>
        <c:lblAlgn val="ctr"/>
        <c:lblOffset val="100"/>
        <c:noMultiLvlLbl val="0"/>
      </c:catAx>
      <c:valAx>
        <c:axId val="127200640"/>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7199104"/>
        <c:crosses val="autoZero"/>
        <c:crossBetween val="between"/>
      </c:valAx>
      <c:catAx>
        <c:axId val="127235200"/>
        <c:scaling>
          <c:orientation val="minMax"/>
        </c:scaling>
        <c:delete val="1"/>
        <c:axPos val="b"/>
        <c:numFmt formatCode="General" sourceLinked="1"/>
        <c:majorTickMark val="out"/>
        <c:minorTickMark val="none"/>
        <c:tickLblPos val="nextTo"/>
        <c:crossAx val="127236736"/>
        <c:crosses val="autoZero"/>
        <c:auto val="1"/>
        <c:lblAlgn val="ctr"/>
        <c:lblOffset val="100"/>
        <c:noMultiLvlLbl val="0"/>
      </c:catAx>
      <c:valAx>
        <c:axId val="127236736"/>
        <c:scaling>
          <c:orientation val="minMax"/>
        </c:scaling>
        <c:delete val="0"/>
        <c:axPos val="r"/>
        <c:numFmt formatCode="General"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7235200"/>
        <c:crosses val="max"/>
        <c:crossBetween val="between"/>
      </c:valAx>
    </c:plotArea>
    <c:legend>
      <c:legendPos val="b"/>
      <c:overlay val="0"/>
      <c:txPr>
        <a:bodyPr/>
        <a:lstStyle/>
        <a:p>
          <a:pPr>
            <a:defRPr sz="92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b="1" i="0" u="none" strike="noStrike" baseline="0">
                <a:solidFill>
                  <a:srgbClr val="000000"/>
                </a:solidFill>
                <a:latin typeface="Times New Roman"/>
                <a:ea typeface="Times New Roman"/>
                <a:cs typeface="Times New Roman"/>
              </a:defRPr>
            </a:pPr>
            <a:r>
              <a:rPr lang="ru-RU"/>
              <a:t>Действующий фонд водоводов НГДУ "Джалильнефть" на 01.01.18г</a:t>
            </a:r>
          </a:p>
        </c:rich>
      </c:tx>
      <c:overlay val="0"/>
    </c:title>
    <c:autoTitleDeleted val="0"/>
    <c:plotArea>
      <c:layout>
        <c:manualLayout>
          <c:layoutTarget val="inner"/>
          <c:xMode val="edge"/>
          <c:yMode val="edge"/>
          <c:x val="0.14296161697736509"/>
          <c:y val="0.13201999215931523"/>
          <c:w val="0.83720748722199201"/>
          <c:h val="0.49630944168232766"/>
        </c:manualLayout>
      </c:layout>
      <c:barChart>
        <c:barDir val="col"/>
        <c:grouping val="clustered"/>
        <c:varyColors val="0"/>
        <c:ser>
          <c:idx val="0"/>
          <c:order val="0"/>
          <c:invertIfNegative val="0"/>
          <c:dPt>
            <c:idx val="0"/>
            <c:invertIfNegative val="0"/>
            <c:bubble3D val="0"/>
            <c:spPr>
              <a:solidFill>
                <a:srgbClr val="00B050"/>
              </a:solidFill>
            </c:spPr>
            <c:extLst>
              <c:ext xmlns:c16="http://schemas.microsoft.com/office/drawing/2014/chart" uri="{C3380CC4-5D6E-409C-BE32-E72D297353CC}">
                <c16:uniqueId val="{00000001-1CD6-49B6-825B-8F99B831EE11}"/>
              </c:ext>
            </c:extLst>
          </c:dPt>
          <c:dPt>
            <c:idx val="1"/>
            <c:invertIfNegative val="0"/>
            <c:bubble3D val="0"/>
            <c:spPr>
              <a:solidFill>
                <a:srgbClr val="00B050"/>
              </a:solidFill>
            </c:spPr>
            <c:extLst>
              <c:ext xmlns:c16="http://schemas.microsoft.com/office/drawing/2014/chart" uri="{C3380CC4-5D6E-409C-BE32-E72D297353CC}">
                <c16:uniqueId val="{00000003-1CD6-49B6-825B-8F99B831EE11}"/>
              </c:ext>
            </c:extLst>
          </c:dPt>
          <c:dPt>
            <c:idx val="2"/>
            <c:invertIfNegative val="0"/>
            <c:bubble3D val="0"/>
            <c:spPr>
              <a:solidFill>
                <a:srgbClr val="00B050"/>
              </a:solidFill>
            </c:spPr>
            <c:extLst>
              <c:ext xmlns:c16="http://schemas.microsoft.com/office/drawing/2014/chart" uri="{C3380CC4-5D6E-409C-BE32-E72D297353CC}">
                <c16:uniqueId val="{00000005-1CD6-49B6-825B-8F99B831EE11}"/>
              </c:ext>
            </c:extLst>
          </c:dPt>
          <c:dPt>
            <c:idx val="3"/>
            <c:invertIfNegative val="0"/>
            <c:bubble3D val="0"/>
            <c:spPr>
              <a:solidFill>
                <a:srgbClr val="00B050"/>
              </a:solidFill>
            </c:spPr>
            <c:extLst>
              <c:ext xmlns:c16="http://schemas.microsoft.com/office/drawing/2014/chart" uri="{C3380CC4-5D6E-409C-BE32-E72D297353CC}">
                <c16:uniqueId val="{00000007-1CD6-49B6-825B-8F99B831EE11}"/>
              </c:ext>
            </c:extLst>
          </c:dPt>
          <c:dPt>
            <c:idx val="4"/>
            <c:invertIfNegative val="0"/>
            <c:bubble3D val="0"/>
            <c:spPr>
              <a:solidFill>
                <a:schemeClr val="bg1">
                  <a:lumMod val="50000"/>
                </a:schemeClr>
              </a:solidFill>
            </c:spPr>
            <c:extLst>
              <c:ext xmlns:c16="http://schemas.microsoft.com/office/drawing/2014/chart" uri="{C3380CC4-5D6E-409C-BE32-E72D297353CC}">
                <c16:uniqueId val="{00000009-1CD6-49B6-825B-8F99B831EE11}"/>
              </c:ext>
            </c:extLst>
          </c:dPt>
          <c:dPt>
            <c:idx val="5"/>
            <c:invertIfNegative val="0"/>
            <c:bubble3D val="0"/>
            <c:spPr>
              <a:solidFill>
                <a:schemeClr val="bg1">
                  <a:lumMod val="50000"/>
                </a:schemeClr>
              </a:solidFill>
            </c:spPr>
            <c:extLst>
              <c:ext xmlns:c16="http://schemas.microsoft.com/office/drawing/2014/chart" uri="{C3380CC4-5D6E-409C-BE32-E72D297353CC}">
                <c16:uniqueId val="{0000000B-1CD6-49B6-825B-8F99B831EE11}"/>
              </c:ext>
            </c:extLst>
          </c:dPt>
          <c:dPt>
            <c:idx val="6"/>
            <c:invertIfNegative val="0"/>
            <c:bubble3D val="0"/>
            <c:spPr>
              <a:solidFill>
                <a:schemeClr val="bg1">
                  <a:lumMod val="50000"/>
                </a:schemeClr>
              </a:solidFill>
            </c:spPr>
            <c:extLst>
              <c:ext xmlns:c16="http://schemas.microsoft.com/office/drawing/2014/chart" uri="{C3380CC4-5D6E-409C-BE32-E72D297353CC}">
                <c16:uniqueId val="{0000000D-1CD6-49B6-825B-8F99B831EE11}"/>
              </c:ext>
            </c:extLst>
          </c:dPt>
          <c:dPt>
            <c:idx val="7"/>
            <c:invertIfNegative val="0"/>
            <c:bubble3D val="0"/>
            <c:spPr>
              <a:solidFill>
                <a:schemeClr val="bg1">
                  <a:lumMod val="50000"/>
                </a:schemeClr>
              </a:solidFill>
            </c:spPr>
            <c:extLst>
              <c:ext xmlns:c16="http://schemas.microsoft.com/office/drawing/2014/chart" uri="{C3380CC4-5D6E-409C-BE32-E72D297353CC}">
                <c16:uniqueId val="{0000000F-1CD6-49B6-825B-8F99B831EE11}"/>
              </c:ext>
            </c:extLst>
          </c:dPt>
          <c:dPt>
            <c:idx val="8"/>
            <c:invertIfNegative val="0"/>
            <c:bubble3D val="0"/>
            <c:spPr>
              <a:solidFill>
                <a:srgbClr val="FF0000"/>
              </a:solidFill>
            </c:spPr>
            <c:extLst>
              <c:ext xmlns:c16="http://schemas.microsoft.com/office/drawing/2014/chart" uri="{C3380CC4-5D6E-409C-BE32-E72D297353CC}">
                <c16:uniqueId val="{00000011-1CD6-49B6-825B-8F99B831EE11}"/>
              </c:ext>
            </c:extLst>
          </c:dPt>
          <c:dPt>
            <c:idx val="9"/>
            <c:invertIfNegative val="0"/>
            <c:bubble3D val="0"/>
            <c:spPr>
              <a:solidFill>
                <a:srgbClr val="FF0000"/>
              </a:solidFill>
            </c:spPr>
            <c:extLst>
              <c:ext xmlns:c16="http://schemas.microsoft.com/office/drawing/2014/chart" uri="{C3380CC4-5D6E-409C-BE32-E72D297353CC}">
                <c16:uniqueId val="{00000013-1CD6-49B6-825B-8F99B831EE11}"/>
              </c:ext>
            </c:extLst>
          </c:dPt>
          <c:dPt>
            <c:idx val="10"/>
            <c:invertIfNegative val="0"/>
            <c:bubble3D val="0"/>
            <c:spPr>
              <a:solidFill>
                <a:srgbClr val="FF0000"/>
              </a:solidFill>
            </c:spPr>
            <c:extLst>
              <c:ext xmlns:c16="http://schemas.microsoft.com/office/drawing/2014/chart" uri="{C3380CC4-5D6E-409C-BE32-E72D297353CC}">
                <c16:uniqueId val="{00000015-1CD6-49B6-825B-8F99B831EE11}"/>
              </c:ext>
            </c:extLst>
          </c:dPt>
          <c:dPt>
            <c:idx val="11"/>
            <c:invertIfNegative val="0"/>
            <c:bubble3D val="0"/>
            <c:spPr>
              <a:solidFill>
                <a:srgbClr val="FF0000"/>
              </a:solidFill>
            </c:spPr>
            <c:extLst>
              <c:ext xmlns:c16="http://schemas.microsoft.com/office/drawing/2014/chart" uri="{C3380CC4-5D6E-409C-BE32-E72D297353CC}">
                <c16:uniqueId val="{00000017-1CD6-49B6-825B-8F99B831EE11}"/>
              </c:ext>
            </c:extLst>
          </c:dPt>
          <c:dLbls>
            <c:dLbl>
              <c:idx val="1"/>
              <c:tx>
                <c:rich>
                  <a:bodyPr wrap="square" lIns="38100" tIns="19050" rIns="38100" bIns="19050" anchor="ctr">
                    <a:spAutoFit/>
                  </a:bodyPr>
                  <a:lstStyle/>
                  <a:p>
                    <a:pPr>
                      <a:defRPr/>
                    </a:pPr>
                    <a:r>
                      <a:rPr lang="en-US"/>
                      <a:t>2337,3</a:t>
                    </a:r>
                  </a:p>
                  <a:p>
                    <a:pPr>
                      <a:defRPr/>
                    </a:pPr>
                    <a:r>
                      <a:rPr lang="en-US"/>
                      <a:t>86%</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CD6-49B6-825B-8F99B831EE11}"/>
                </c:ext>
              </c:extLst>
            </c:dLbl>
            <c:dLbl>
              <c:idx val="2"/>
              <c:tx>
                <c:rich>
                  <a:bodyPr wrap="square" lIns="38100" tIns="19050" rIns="38100" bIns="19050" anchor="ctr">
                    <a:noAutofit/>
                  </a:bodyPr>
                  <a:lstStyle/>
                  <a:p>
                    <a:pPr>
                      <a:defRPr/>
                    </a:pPr>
                    <a:r>
                      <a:rPr lang="en-US"/>
                      <a:t>2033,5</a:t>
                    </a:r>
                  </a:p>
                  <a:p>
                    <a:pPr>
                      <a:defRPr/>
                    </a:pPr>
                    <a:r>
                      <a:rPr lang="en-US"/>
                      <a:t>75%</a:t>
                    </a:r>
                  </a:p>
                </c:rich>
              </c:tx>
              <c:spPr>
                <a:noFill/>
                <a:ln w="25400">
                  <a:noFill/>
                </a:ln>
              </c:spPr>
              <c:showLegendKey val="0"/>
              <c:showVal val="0"/>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5-1CD6-49B6-825B-8F99B831EE11}"/>
                </c:ext>
              </c:extLst>
            </c:dLbl>
            <c:dLbl>
              <c:idx val="3"/>
              <c:tx>
                <c:rich>
                  <a:bodyPr wrap="square" lIns="38100" tIns="19050" rIns="38100" bIns="19050" anchor="ctr">
                    <a:spAutoFit/>
                  </a:bodyPr>
                  <a:lstStyle/>
                  <a:p>
                    <a:pPr>
                      <a:defRPr/>
                    </a:pPr>
                    <a:r>
                      <a:rPr lang="en-US"/>
                      <a:t>2017,0</a:t>
                    </a:r>
                  </a:p>
                  <a:p>
                    <a:pPr>
                      <a:defRPr/>
                    </a:pPr>
                    <a:r>
                      <a:rPr lang="en-US"/>
                      <a:t>99%</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CD6-49B6-825B-8F99B831EE11}"/>
                </c:ext>
              </c:extLst>
            </c:dLbl>
            <c:dLbl>
              <c:idx val="5"/>
              <c:tx>
                <c:rich>
                  <a:bodyPr wrap="square" lIns="38100" tIns="19050" rIns="38100" bIns="19050" anchor="ctr">
                    <a:spAutoFit/>
                  </a:bodyPr>
                  <a:lstStyle/>
                  <a:p>
                    <a:pPr>
                      <a:defRPr/>
                    </a:pPr>
                    <a:r>
                      <a:rPr lang="en-US"/>
                      <a:t>200,4</a:t>
                    </a:r>
                  </a:p>
                  <a:p>
                    <a:pPr>
                      <a:defRPr/>
                    </a:pPr>
                    <a:r>
                      <a:rPr lang="en-US"/>
                      <a:t>75%</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CD6-49B6-825B-8F99B831EE11}"/>
                </c:ext>
              </c:extLst>
            </c:dLbl>
            <c:dLbl>
              <c:idx val="6"/>
              <c:tx>
                <c:rich>
                  <a:bodyPr wrap="square" lIns="38100" tIns="19050" rIns="38100" bIns="19050" anchor="ctr">
                    <a:spAutoFit/>
                  </a:bodyPr>
                  <a:lstStyle/>
                  <a:p>
                    <a:pPr>
                      <a:defRPr/>
                    </a:pPr>
                    <a:r>
                      <a:rPr lang="en-US"/>
                      <a:t>202,1</a:t>
                    </a:r>
                  </a:p>
                  <a:p>
                    <a:pPr>
                      <a:defRPr/>
                    </a:pPr>
                    <a:r>
                      <a:rPr lang="en-US"/>
                      <a:t>76%</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CD6-49B6-825B-8F99B831EE11}"/>
                </c:ext>
              </c:extLst>
            </c:dLbl>
            <c:dLbl>
              <c:idx val="7"/>
              <c:tx>
                <c:rich>
                  <a:bodyPr wrap="square" lIns="38100" tIns="19050" rIns="38100" bIns="19050" anchor="ctr">
                    <a:spAutoFit/>
                  </a:bodyPr>
                  <a:lstStyle/>
                  <a:p>
                    <a:pPr>
                      <a:defRPr/>
                    </a:pPr>
                    <a:r>
                      <a:rPr lang="en-US"/>
                      <a:t>200,4</a:t>
                    </a:r>
                  </a:p>
                  <a:p>
                    <a:pPr>
                      <a:defRPr/>
                    </a:pPr>
                    <a:r>
                      <a:rPr lang="en-US"/>
                      <a:t>99%</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1CD6-49B6-825B-8F99B831EE11}"/>
                </c:ext>
              </c:extLst>
            </c:dLbl>
            <c:dLbl>
              <c:idx val="9"/>
              <c:tx>
                <c:rich>
                  <a:bodyPr wrap="square" lIns="38100" tIns="19050" rIns="38100" bIns="19050" anchor="ctr">
                    <a:spAutoFit/>
                  </a:bodyPr>
                  <a:lstStyle/>
                  <a:p>
                    <a:pPr>
                      <a:defRPr/>
                    </a:pPr>
                    <a:r>
                      <a:rPr lang="en-US"/>
                      <a:t>2136,8</a:t>
                    </a:r>
                  </a:p>
                  <a:p>
                    <a:pPr>
                      <a:defRPr/>
                    </a:pPr>
                    <a:r>
                      <a:rPr lang="en-US"/>
                      <a:t>87%</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1CD6-49B6-825B-8F99B831EE11}"/>
                </c:ext>
              </c:extLst>
            </c:dLbl>
            <c:dLbl>
              <c:idx val="10"/>
              <c:tx>
                <c:rich>
                  <a:bodyPr wrap="square" lIns="38100" tIns="19050" rIns="38100" bIns="19050" anchor="ctr">
                    <a:spAutoFit/>
                  </a:bodyPr>
                  <a:lstStyle/>
                  <a:p>
                    <a:pPr>
                      <a:defRPr/>
                    </a:pPr>
                    <a:r>
                      <a:rPr lang="en-US"/>
                      <a:t>1831,5</a:t>
                    </a:r>
                  </a:p>
                  <a:p>
                    <a:pPr>
                      <a:defRPr/>
                    </a:pPr>
                    <a:r>
                      <a:rPr lang="en-US"/>
                      <a:t>75%</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1CD6-49B6-825B-8F99B831EE11}"/>
                </c:ext>
              </c:extLst>
            </c:dLbl>
            <c:dLbl>
              <c:idx val="11"/>
              <c:tx>
                <c:rich>
                  <a:bodyPr wrap="square" lIns="38100" tIns="19050" rIns="38100" bIns="19050" anchor="ctr">
                    <a:spAutoFit/>
                  </a:bodyPr>
                  <a:lstStyle/>
                  <a:p>
                    <a:pPr>
                      <a:defRPr/>
                    </a:pPr>
                    <a:r>
                      <a:rPr lang="en-US"/>
                      <a:t>1816,5</a:t>
                    </a:r>
                  </a:p>
                  <a:p>
                    <a:pPr>
                      <a:defRPr/>
                    </a:pPr>
                    <a:r>
                      <a:rPr lang="en-US"/>
                      <a:t>99%</a:t>
                    </a:r>
                  </a:p>
                </c:rich>
              </c:tx>
              <c:spPr>
                <a:noFill/>
                <a:ln w="25400">
                  <a:noFill/>
                </a:ln>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1CD6-49B6-825B-8F99B831EE11}"/>
                </c:ext>
              </c:extLst>
            </c:dLbl>
            <c:spPr>
              <a:noFill/>
              <a:ln w="25400">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диаг.3.12!$A$2:$A$13</c:f>
              <c:strCache>
                <c:ptCount val="12"/>
                <c:pt idx="0">
                  <c:v>Действующий фонд в/в</c:v>
                </c:pt>
                <c:pt idx="1">
                  <c:v>из них МПТ</c:v>
                </c:pt>
                <c:pt idx="2">
                  <c:v>в т.ч. на сточной воде</c:v>
                </c:pt>
                <c:pt idx="3">
                  <c:v>из них МПТ</c:v>
                </c:pt>
                <c:pt idx="4">
                  <c:v>Подводящие в/в</c:v>
                </c:pt>
                <c:pt idx="5">
                  <c:v>из них МПТ</c:v>
                </c:pt>
                <c:pt idx="6">
                  <c:v>в т.ч. на сточной воде</c:v>
                </c:pt>
                <c:pt idx="7">
                  <c:v>из них МПТ</c:v>
                </c:pt>
                <c:pt idx="8">
                  <c:v>Разводящие в/в</c:v>
                </c:pt>
                <c:pt idx="9">
                  <c:v>из них МПТ</c:v>
                </c:pt>
                <c:pt idx="10">
                  <c:v>в т.ч. на сточной воде</c:v>
                </c:pt>
                <c:pt idx="11">
                  <c:v>из них МПТ</c:v>
                </c:pt>
              </c:strCache>
            </c:strRef>
          </c:cat>
          <c:val>
            <c:numRef>
              <c:f>диаг.3.12!$B$2:$B$13</c:f>
              <c:numCache>
                <c:formatCode>0.0</c:formatCode>
                <c:ptCount val="12"/>
                <c:pt idx="0">
                  <c:v>2716.4</c:v>
                </c:pt>
                <c:pt idx="1">
                  <c:v>2337.2649999999949</c:v>
                </c:pt>
                <c:pt idx="2">
                  <c:v>2033.5</c:v>
                </c:pt>
                <c:pt idx="3">
                  <c:v>2017</c:v>
                </c:pt>
                <c:pt idx="4">
                  <c:v>266.39999999999969</c:v>
                </c:pt>
                <c:pt idx="5">
                  <c:v>200.4</c:v>
                </c:pt>
                <c:pt idx="6">
                  <c:v>202.1</c:v>
                </c:pt>
                <c:pt idx="7">
                  <c:v>200.4</c:v>
                </c:pt>
                <c:pt idx="8">
                  <c:v>2450</c:v>
                </c:pt>
                <c:pt idx="9">
                  <c:v>2136.8000000000002</c:v>
                </c:pt>
                <c:pt idx="10">
                  <c:v>1831.5</c:v>
                </c:pt>
                <c:pt idx="11">
                  <c:v>1816.5</c:v>
                </c:pt>
              </c:numCache>
            </c:numRef>
          </c:val>
          <c:extLst>
            <c:ext xmlns:c16="http://schemas.microsoft.com/office/drawing/2014/chart" uri="{C3380CC4-5D6E-409C-BE32-E72D297353CC}">
              <c16:uniqueId val="{00000018-1CD6-49B6-825B-8F99B831EE11}"/>
            </c:ext>
          </c:extLst>
        </c:ser>
        <c:dLbls>
          <c:showLegendKey val="0"/>
          <c:showVal val="0"/>
          <c:showCatName val="0"/>
          <c:showSerName val="0"/>
          <c:showPercent val="0"/>
          <c:showBubbleSize val="0"/>
        </c:dLbls>
        <c:gapWidth val="75"/>
        <c:overlap val="-25"/>
        <c:axId val="127876096"/>
        <c:axId val="127894272"/>
      </c:barChart>
      <c:catAx>
        <c:axId val="127876096"/>
        <c:scaling>
          <c:orientation val="minMax"/>
        </c:scaling>
        <c:delete val="0"/>
        <c:axPos val="b"/>
        <c:numFmt formatCode="General" sourceLinked="1"/>
        <c:majorTickMark val="none"/>
        <c:minorTickMark val="none"/>
        <c:tickLblPos val="nextTo"/>
        <c:txPr>
          <a:bodyPr rot="-2700000" vert="horz"/>
          <a:lstStyle/>
          <a:p>
            <a:pPr>
              <a:defRPr sz="1000" b="0" i="0" u="none" strike="noStrike" baseline="0">
                <a:solidFill>
                  <a:srgbClr val="000000"/>
                </a:solidFill>
                <a:latin typeface="Calibri"/>
                <a:ea typeface="Calibri"/>
                <a:cs typeface="Calibri"/>
              </a:defRPr>
            </a:pPr>
            <a:endParaRPr lang="ru-RU"/>
          </a:p>
        </c:txPr>
        <c:crossAx val="127894272"/>
        <c:crosses val="autoZero"/>
        <c:auto val="1"/>
        <c:lblAlgn val="ctr"/>
        <c:lblOffset val="100"/>
        <c:noMultiLvlLbl val="0"/>
      </c:catAx>
      <c:valAx>
        <c:axId val="127894272"/>
        <c:scaling>
          <c:orientation val="minMax"/>
        </c:scaling>
        <c:delete val="0"/>
        <c:axPos val="l"/>
        <c:numFmt formatCode="0.0"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27876096"/>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0" i="0" u="none" strike="noStrike" baseline="0">
                <a:solidFill>
                  <a:srgbClr val="000000"/>
                </a:solidFill>
                <a:latin typeface="Times New Roman"/>
                <a:ea typeface="Times New Roman"/>
                <a:cs typeface="Times New Roman"/>
              </a:defRPr>
            </a:pPr>
            <a:r>
              <a:rPr lang="ru-RU" sz="1200" b="1" i="0" u="none" strike="noStrike" baseline="0">
                <a:solidFill>
                  <a:srgbClr val="000000"/>
                </a:solidFill>
                <a:latin typeface="Times New Roman"/>
                <a:cs typeface="Times New Roman"/>
              </a:rPr>
              <a:t>Динамика порывности в системе ППД НГДУ "Джалильнефть</a:t>
            </a:r>
            <a:r>
              <a:rPr lang="ru-RU" sz="1200" b="0" i="0" u="none" strike="noStrike" baseline="0">
                <a:solidFill>
                  <a:srgbClr val="000000"/>
                </a:solidFill>
                <a:latin typeface="Times New Roman"/>
                <a:cs typeface="Times New Roman"/>
              </a:rPr>
              <a:t>"</a:t>
            </a:r>
          </a:p>
        </c:rich>
      </c:tx>
      <c:overlay val="0"/>
    </c:title>
    <c:autoTitleDeleted val="0"/>
    <c:plotArea>
      <c:layout/>
      <c:barChart>
        <c:barDir val="col"/>
        <c:grouping val="clustered"/>
        <c:varyColors val="0"/>
        <c:ser>
          <c:idx val="1"/>
          <c:order val="0"/>
          <c:tx>
            <c:strRef>
              <c:f>'диаг.3.12-1'!$A$4</c:f>
              <c:strCache>
                <c:ptCount val="1"/>
                <c:pt idx="0">
                  <c:v>Количество порывов в ППД в НГДУ"Джалильнефть", шт</c:v>
                </c:pt>
              </c:strCache>
            </c:strRef>
          </c:tx>
          <c:spPr>
            <a:solidFill>
              <a:srgbClr val="0070C0"/>
            </a:solidFill>
            <a:ln w="12700">
              <a:solidFill>
                <a:srgbClr val="000000"/>
              </a:solidFill>
              <a:prstDash val="solid"/>
            </a:ln>
          </c:spPr>
          <c:invertIfNegative val="0"/>
          <c:dLbls>
            <c:spPr>
              <a:solidFill>
                <a:schemeClr val="bg1"/>
              </a:solidFill>
            </c:spPr>
            <c:txPr>
              <a:bodyPr wrap="square" lIns="38100" tIns="19050" rIns="38100" bIns="19050" anchor="ctr">
                <a:spAutoFit/>
              </a:bodyPr>
              <a:lstStyle/>
              <a:p>
                <a:pPr>
                  <a:defRPr sz="1000" b="0" i="0" u="none" strike="noStrike" baseline="0">
                    <a:solidFill>
                      <a:srgbClr val="0000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'диаг.3.12-1'!$B$3:$T$3</c:f>
              <c:strCache>
                <c:ptCount val="19"/>
                <c:pt idx="0">
                  <c:v>1999г</c:v>
                </c:pt>
                <c:pt idx="1">
                  <c:v>2000г</c:v>
                </c:pt>
                <c:pt idx="2">
                  <c:v>2001г</c:v>
                </c:pt>
                <c:pt idx="3">
                  <c:v>2002г</c:v>
                </c:pt>
                <c:pt idx="4">
                  <c:v>2003г</c:v>
                </c:pt>
                <c:pt idx="5">
                  <c:v>2004г</c:v>
                </c:pt>
                <c:pt idx="6">
                  <c:v>2005г</c:v>
                </c:pt>
                <c:pt idx="7">
                  <c:v>2006г</c:v>
                </c:pt>
                <c:pt idx="8">
                  <c:v>2007г</c:v>
                </c:pt>
                <c:pt idx="9">
                  <c:v>2008г</c:v>
                </c:pt>
                <c:pt idx="10">
                  <c:v>2009г</c:v>
                </c:pt>
                <c:pt idx="11">
                  <c:v>2010г</c:v>
                </c:pt>
                <c:pt idx="12">
                  <c:v>2011г</c:v>
                </c:pt>
                <c:pt idx="13">
                  <c:v>2012г</c:v>
                </c:pt>
                <c:pt idx="14">
                  <c:v>2013г</c:v>
                </c:pt>
                <c:pt idx="15">
                  <c:v>2014г</c:v>
                </c:pt>
                <c:pt idx="16">
                  <c:v>2015г</c:v>
                </c:pt>
                <c:pt idx="17">
                  <c:v>2016г</c:v>
                </c:pt>
                <c:pt idx="18">
                  <c:v>2017г</c:v>
                </c:pt>
              </c:strCache>
            </c:strRef>
          </c:cat>
          <c:val>
            <c:numRef>
              <c:f>'диаг.3.12-1'!$B$4:$T$4</c:f>
              <c:numCache>
                <c:formatCode>General</c:formatCode>
                <c:ptCount val="19"/>
                <c:pt idx="0">
                  <c:v>141</c:v>
                </c:pt>
                <c:pt idx="1">
                  <c:v>139</c:v>
                </c:pt>
                <c:pt idx="2">
                  <c:v>117</c:v>
                </c:pt>
                <c:pt idx="3">
                  <c:v>92</c:v>
                </c:pt>
                <c:pt idx="4">
                  <c:v>75</c:v>
                </c:pt>
                <c:pt idx="5">
                  <c:v>160</c:v>
                </c:pt>
                <c:pt idx="6">
                  <c:v>143</c:v>
                </c:pt>
                <c:pt idx="7">
                  <c:v>209</c:v>
                </c:pt>
                <c:pt idx="8">
                  <c:v>142</c:v>
                </c:pt>
                <c:pt idx="9">
                  <c:v>142</c:v>
                </c:pt>
                <c:pt idx="10">
                  <c:v>207</c:v>
                </c:pt>
                <c:pt idx="11">
                  <c:v>189</c:v>
                </c:pt>
                <c:pt idx="12">
                  <c:v>159</c:v>
                </c:pt>
                <c:pt idx="13">
                  <c:v>146</c:v>
                </c:pt>
                <c:pt idx="14">
                  <c:v>141</c:v>
                </c:pt>
                <c:pt idx="15">
                  <c:v>146</c:v>
                </c:pt>
                <c:pt idx="16">
                  <c:v>206</c:v>
                </c:pt>
                <c:pt idx="17">
                  <c:v>253</c:v>
                </c:pt>
                <c:pt idx="18">
                  <c:v>161</c:v>
                </c:pt>
              </c:numCache>
            </c:numRef>
          </c:val>
          <c:extLst>
            <c:ext xmlns:c16="http://schemas.microsoft.com/office/drawing/2014/chart" uri="{C3380CC4-5D6E-409C-BE32-E72D297353CC}">
              <c16:uniqueId val="{00000000-77B0-4364-B6F4-EC0B954395EB}"/>
            </c:ext>
          </c:extLst>
        </c:ser>
        <c:dLbls>
          <c:showLegendKey val="0"/>
          <c:showVal val="0"/>
          <c:showCatName val="0"/>
          <c:showSerName val="0"/>
          <c:showPercent val="0"/>
          <c:showBubbleSize val="0"/>
        </c:dLbls>
        <c:gapWidth val="150"/>
        <c:axId val="123300480"/>
        <c:axId val="123310464"/>
      </c:barChart>
      <c:lineChart>
        <c:grouping val="standard"/>
        <c:varyColors val="0"/>
        <c:ser>
          <c:idx val="0"/>
          <c:order val="1"/>
          <c:tx>
            <c:strRef>
              <c:f>'диаг.3.12-1'!$A$5</c:f>
              <c:strCache>
                <c:ptCount val="1"/>
                <c:pt idx="0">
                  <c:v>Уд. порывность водоводов в НГДУ "Джалильнефть", шт/км</c:v>
                </c:pt>
              </c:strCache>
            </c:strRef>
          </c:tx>
          <c:spPr>
            <a:ln>
              <a:solidFill>
                <a:srgbClr val="FF0000"/>
              </a:solidFill>
            </a:ln>
          </c:spPr>
          <c:marker>
            <c:symbol val="none"/>
          </c:marker>
          <c:dLbls>
            <c:dLbl>
              <c:idx val="17"/>
              <c:layout>
                <c:manualLayout>
                  <c:x val="-3.2120347607919528E-2"/>
                  <c:y val="-2.406832298136648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7B0-4364-B6F4-EC0B954395EB}"/>
                </c:ext>
              </c:extLst>
            </c:dLbl>
            <c:spPr>
              <a:noFill/>
            </c:spPr>
            <c:txPr>
              <a:bodyPr/>
              <a:lstStyle/>
              <a:p>
                <a:pPr>
                  <a:defRPr>
                    <a:solidFill>
                      <a:srgbClr val="FF0000"/>
                    </a:solidFill>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'диаг.3.12-1'!$B$3:$T$3</c:f>
              <c:strCache>
                <c:ptCount val="19"/>
                <c:pt idx="0">
                  <c:v>1999г</c:v>
                </c:pt>
                <c:pt idx="1">
                  <c:v>2000г</c:v>
                </c:pt>
                <c:pt idx="2">
                  <c:v>2001г</c:v>
                </c:pt>
                <c:pt idx="3">
                  <c:v>2002г</c:v>
                </c:pt>
                <c:pt idx="4">
                  <c:v>2003г</c:v>
                </c:pt>
                <c:pt idx="5">
                  <c:v>2004г</c:v>
                </c:pt>
                <c:pt idx="6">
                  <c:v>2005г</c:v>
                </c:pt>
                <c:pt idx="7">
                  <c:v>2006г</c:v>
                </c:pt>
                <c:pt idx="8">
                  <c:v>2007г</c:v>
                </c:pt>
                <c:pt idx="9">
                  <c:v>2008г</c:v>
                </c:pt>
                <c:pt idx="10">
                  <c:v>2009г</c:v>
                </c:pt>
                <c:pt idx="11">
                  <c:v>2010г</c:v>
                </c:pt>
                <c:pt idx="12">
                  <c:v>2011г</c:v>
                </c:pt>
                <c:pt idx="13">
                  <c:v>2012г</c:v>
                </c:pt>
                <c:pt idx="14">
                  <c:v>2013г</c:v>
                </c:pt>
                <c:pt idx="15">
                  <c:v>2014г</c:v>
                </c:pt>
                <c:pt idx="16">
                  <c:v>2015г</c:v>
                </c:pt>
                <c:pt idx="17">
                  <c:v>2016г</c:v>
                </c:pt>
                <c:pt idx="18">
                  <c:v>2017г</c:v>
                </c:pt>
              </c:strCache>
            </c:strRef>
          </c:cat>
          <c:val>
            <c:numRef>
              <c:f>'диаг.3.12-1'!$B$5:$T$5</c:f>
              <c:numCache>
                <c:formatCode>0.000</c:formatCode>
                <c:ptCount val="19"/>
                <c:pt idx="0">
                  <c:v>4.6400000000000004E-2</c:v>
                </c:pt>
                <c:pt idx="1">
                  <c:v>4.3700000000000003E-2</c:v>
                </c:pt>
                <c:pt idx="2">
                  <c:v>3.5500000000000004E-2</c:v>
                </c:pt>
                <c:pt idx="3">
                  <c:v>2.6599999999999999E-2</c:v>
                </c:pt>
                <c:pt idx="4">
                  <c:v>2.2400000000000045E-2</c:v>
                </c:pt>
                <c:pt idx="5">
                  <c:v>4.6400000000000004E-2</c:v>
                </c:pt>
                <c:pt idx="6">
                  <c:v>4.5200000000000004E-2</c:v>
                </c:pt>
                <c:pt idx="7">
                  <c:v>6.5400000000000014E-2</c:v>
                </c:pt>
                <c:pt idx="8" formatCode="General">
                  <c:v>4.3999999999999997E-2</c:v>
                </c:pt>
                <c:pt idx="9" formatCode="General">
                  <c:v>4.2000000000000023E-2</c:v>
                </c:pt>
                <c:pt idx="10" formatCode="General">
                  <c:v>6.4000000000000112E-2</c:v>
                </c:pt>
                <c:pt idx="11">
                  <c:v>6.2676173105620958E-2</c:v>
                </c:pt>
                <c:pt idx="12">
                  <c:v>5.8000000000000003E-2</c:v>
                </c:pt>
                <c:pt idx="13" formatCode="General">
                  <c:v>5.3999999999999999E-2</c:v>
                </c:pt>
                <c:pt idx="14">
                  <c:v>5.2299999999999999E-2</c:v>
                </c:pt>
                <c:pt idx="15">
                  <c:v>5.5000000000000014E-2</c:v>
                </c:pt>
                <c:pt idx="16">
                  <c:v>7.6999999999999999E-2</c:v>
                </c:pt>
                <c:pt idx="17">
                  <c:v>9.4800000000000065E-2</c:v>
                </c:pt>
                <c:pt idx="18">
                  <c:v>5.9200000000000003E-2</c:v>
                </c:pt>
              </c:numCache>
            </c:numRef>
          </c:val>
          <c:smooth val="0"/>
          <c:extLst>
            <c:ext xmlns:c16="http://schemas.microsoft.com/office/drawing/2014/chart" uri="{C3380CC4-5D6E-409C-BE32-E72D297353CC}">
              <c16:uniqueId val="{00000002-77B0-4364-B6F4-EC0B954395EB}"/>
            </c:ext>
          </c:extLst>
        </c:ser>
        <c:dLbls>
          <c:showLegendKey val="0"/>
          <c:showVal val="0"/>
          <c:showCatName val="0"/>
          <c:showSerName val="0"/>
          <c:showPercent val="0"/>
          <c:showBubbleSize val="0"/>
        </c:dLbls>
        <c:marker val="1"/>
        <c:smooth val="0"/>
        <c:axId val="123312000"/>
        <c:axId val="123313536"/>
      </c:lineChart>
      <c:catAx>
        <c:axId val="123300480"/>
        <c:scaling>
          <c:orientation val="minMax"/>
        </c:scaling>
        <c:delete val="0"/>
        <c:axPos val="b"/>
        <c:numFmt formatCode="General" sourceLinked="1"/>
        <c:majorTickMark val="none"/>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3310464"/>
        <c:crosses val="autoZero"/>
        <c:auto val="0"/>
        <c:lblAlgn val="ctr"/>
        <c:lblOffset val="100"/>
        <c:noMultiLvlLbl val="0"/>
      </c:catAx>
      <c:valAx>
        <c:axId val="123310464"/>
        <c:scaling>
          <c:orientation val="minMax"/>
        </c:scaling>
        <c:delete val="0"/>
        <c:axPos val="l"/>
        <c:numFmt formatCode="General" sourceLinked="1"/>
        <c:majorTickMark val="none"/>
        <c:minorTickMark val="none"/>
        <c:tickLblPos val="nextTo"/>
        <c:spPr>
          <a:ln w="25400">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3300480"/>
        <c:crosses val="autoZero"/>
        <c:crossBetween val="between"/>
      </c:valAx>
      <c:catAx>
        <c:axId val="123312000"/>
        <c:scaling>
          <c:orientation val="minMax"/>
        </c:scaling>
        <c:delete val="1"/>
        <c:axPos val="b"/>
        <c:numFmt formatCode="General" sourceLinked="1"/>
        <c:majorTickMark val="out"/>
        <c:minorTickMark val="none"/>
        <c:tickLblPos val="nextTo"/>
        <c:crossAx val="123313536"/>
        <c:crosses val="autoZero"/>
        <c:auto val="1"/>
        <c:lblAlgn val="ctr"/>
        <c:lblOffset val="100"/>
        <c:noMultiLvlLbl val="0"/>
      </c:catAx>
      <c:valAx>
        <c:axId val="123313536"/>
        <c:scaling>
          <c:orientation val="minMax"/>
        </c:scaling>
        <c:delete val="0"/>
        <c:axPos val="r"/>
        <c:numFmt formatCode="0.000" sourceLinked="1"/>
        <c:majorTickMark val="out"/>
        <c:minorTickMark val="none"/>
        <c:tickLblPos val="nextTo"/>
        <c:crossAx val="123312000"/>
        <c:crosses val="max"/>
        <c:crossBetween val="between"/>
      </c:valAx>
      <c:spPr>
        <a:solidFill>
          <a:srgbClr val="FFFFFF"/>
        </a:solidFill>
        <a:ln w="12700">
          <a:solidFill>
            <a:srgbClr val="808080"/>
          </a:solidFill>
          <a:prstDash val="solid"/>
        </a:ln>
      </c:spPr>
    </c:plotArea>
    <c:legend>
      <c:legendPos val="b"/>
      <c:layout>
        <c:manualLayout>
          <c:xMode val="edge"/>
          <c:yMode val="edge"/>
          <c:x val="0.10825837652549909"/>
          <c:y val="0.90043620906082356"/>
          <c:w val="0.78348307478291879"/>
          <c:h val="7.7824660504393503E-2"/>
        </c:manualLayout>
      </c:layout>
      <c:overlay val="0"/>
      <c:spPr>
        <a:solidFill>
          <a:srgbClr val="FFFFFF"/>
        </a:solidFill>
        <a:ln w="3175">
          <a:solidFill>
            <a:srgbClr val="000000"/>
          </a:solidFill>
          <a:prstDash val="solid"/>
        </a:ln>
      </c:spPr>
      <c:txPr>
        <a:bodyPr/>
        <a:lstStyle/>
        <a:p>
          <a:pPr>
            <a:defRPr sz="50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solidFill>
      <a:schemeClr val="bg1"/>
    </a:solidFill>
    <a:ln w="9525">
      <a:solidFill>
        <a:schemeClr val="tx1"/>
      </a:solidFill>
    </a:ln>
  </c:spPr>
  <c:txPr>
    <a:bodyPr/>
    <a:lstStyle/>
    <a:p>
      <a:pPr>
        <a:defRPr sz="1000" b="0"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диаг.3.13!$A$2</c:f>
              <c:strCache>
                <c:ptCount val="1"/>
                <c:pt idx="0">
                  <c:v>количество порывов</c:v>
                </c:pt>
              </c:strCache>
            </c:strRef>
          </c:tx>
          <c:spPr>
            <a:solidFill>
              <a:srgbClr val="00B050"/>
            </a:solidFill>
          </c:spPr>
          <c:invertIfNegative val="0"/>
          <c:dLbls>
            <c:dLbl>
              <c:idx val="1"/>
              <c:layout>
                <c:manualLayout>
                  <c:x val="0"/>
                  <c:y val="0.42070579304134798"/>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3CD-497C-B218-07E82716B160}"/>
                </c:ext>
              </c:extLst>
            </c:dLbl>
            <c:dLbl>
              <c:idx val="3"/>
              <c:layout>
                <c:manualLayout>
                  <c:x val="-1.2982797792924381E-3"/>
                  <c:y val="0.3550351420582352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3CD-497C-B218-07E82716B160}"/>
                </c:ext>
              </c:extLst>
            </c:dLbl>
            <c:dLbl>
              <c:idx val="7"/>
              <c:layout>
                <c:manualLayout>
                  <c:x val="1.2982797792923423E-3"/>
                  <c:y val="2.382061297455928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3CD-497C-B218-07E82716B160}"/>
                </c:ext>
              </c:extLst>
            </c:dLbl>
            <c:spPr>
              <a:solidFill>
                <a:schemeClr val="bg1"/>
              </a:solidFill>
            </c:spPr>
            <c:txPr>
              <a:bodyPr/>
              <a:lstStyle/>
              <a:p>
                <a:pPr>
                  <a:defRPr sz="1000" b="1" i="0" u="none" strike="noStrike" baseline="0">
                    <a:solidFill>
                      <a:srgbClr val="0000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диаг.3.13!$B$1:$J$1</c:f>
              <c:strCache>
                <c:ptCount val="9"/>
                <c:pt idx="0">
                  <c:v>ЛН</c:v>
                </c:pt>
                <c:pt idx="1">
                  <c:v>АН</c:v>
                </c:pt>
                <c:pt idx="2">
                  <c:v>АзН</c:v>
                </c:pt>
                <c:pt idx="3">
                  <c:v>ДН</c:v>
                </c:pt>
                <c:pt idx="4">
                  <c:v>ЕН</c:v>
                </c:pt>
                <c:pt idx="5">
                  <c:v>БН</c:v>
                </c:pt>
                <c:pt idx="6">
                  <c:v>ПН</c:v>
                </c:pt>
                <c:pt idx="7">
                  <c:v>ЯН</c:v>
                </c:pt>
                <c:pt idx="8">
                  <c:v>НН</c:v>
                </c:pt>
              </c:strCache>
            </c:strRef>
          </c:cat>
          <c:val>
            <c:numRef>
              <c:f>диаг.3.13!$B$2:$J$2</c:f>
              <c:numCache>
                <c:formatCode>General</c:formatCode>
                <c:ptCount val="9"/>
                <c:pt idx="0">
                  <c:v>153</c:v>
                </c:pt>
                <c:pt idx="1">
                  <c:v>147</c:v>
                </c:pt>
                <c:pt idx="2">
                  <c:v>101</c:v>
                </c:pt>
                <c:pt idx="3">
                  <c:v>161</c:v>
                </c:pt>
                <c:pt idx="4">
                  <c:v>143</c:v>
                </c:pt>
                <c:pt idx="5">
                  <c:v>12</c:v>
                </c:pt>
                <c:pt idx="6">
                  <c:v>22</c:v>
                </c:pt>
                <c:pt idx="7">
                  <c:v>13</c:v>
                </c:pt>
                <c:pt idx="8">
                  <c:v>31</c:v>
                </c:pt>
              </c:numCache>
            </c:numRef>
          </c:val>
          <c:extLst>
            <c:ext xmlns:c16="http://schemas.microsoft.com/office/drawing/2014/chart" uri="{C3380CC4-5D6E-409C-BE32-E72D297353CC}">
              <c16:uniqueId val="{00000003-43CD-497C-B218-07E82716B160}"/>
            </c:ext>
          </c:extLst>
        </c:ser>
        <c:ser>
          <c:idx val="1"/>
          <c:order val="1"/>
          <c:tx>
            <c:strRef>
              <c:f>диаг.3.13!$A$3</c:f>
              <c:strCache>
                <c:ptCount val="1"/>
                <c:pt idx="0">
                  <c:v>кол-во порывов на сточной воде</c:v>
                </c:pt>
              </c:strCache>
            </c:strRef>
          </c:tx>
          <c:spPr>
            <a:solidFill>
              <a:srgbClr val="FF0000"/>
            </a:solidFill>
          </c:spPr>
          <c:invertIfNegative val="0"/>
          <c:dLbls>
            <c:dLbl>
              <c:idx val="6"/>
              <c:layout>
                <c:manualLayout>
                  <c:x val="-1.0222675417978955E-7"/>
                  <c:y val="3.55014363362060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3CD-497C-B218-07E82716B160}"/>
                </c:ext>
              </c:extLst>
            </c:dLbl>
            <c:spPr>
              <a:solidFill>
                <a:schemeClr val="bg1"/>
              </a:solidFill>
            </c:spPr>
            <c:txPr>
              <a:bodyPr/>
              <a:lstStyle/>
              <a:p>
                <a:pPr>
                  <a:defRPr sz="1000" b="1" i="0" u="none" strike="noStrike" baseline="0">
                    <a:solidFill>
                      <a:srgbClr val="0000FF"/>
                    </a:solidFill>
                    <a:latin typeface="Times New Roman"/>
                    <a:ea typeface="Times New Roman"/>
                    <a:cs typeface="Times New Roman"/>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диаг.3.13!$B$1:$J$1</c:f>
              <c:strCache>
                <c:ptCount val="9"/>
                <c:pt idx="0">
                  <c:v>ЛН</c:v>
                </c:pt>
                <c:pt idx="1">
                  <c:v>АН</c:v>
                </c:pt>
                <c:pt idx="2">
                  <c:v>АзН</c:v>
                </c:pt>
                <c:pt idx="3">
                  <c:v>ДН</c:v>
                </c:pt>
                <c:pt idx="4">
                  <c:v>ЕН</c:v>
                </c:pt>
                <c:pt idx="5">
                  <c:v>БН</c:v>
                </c:pt>
                <c:pt idx="6">
                  <c:v>ПН</c:v>
                </c:pt>
                <c:pt idx="7">
                  <c:v>ЯН</c:v>
                </c:pt>
                <c:pt idx="8">
                  <c:v>НН</c:v>
                </c:pt>
              </c:strCache>
            </c:strRef>
          </c:cat>
          <c:val>
            <c:numRef>
              <c:f>диаг.3.13!$B$3:$J$3</c:f>
              <c:numCache>
                <c:formatCode>General</c:formatCode>
                <c:ptCount val="9"/>
                <c:pt idx="0">
                  <c:v>153</c:v>
                </c:pt>
                <c:pt idx="1">
                  <c:v>136</c:v>
                </c:pt>
                <c:pt idx="2">
                  <c:v>101</c:v>
                </c:pt>
                <c:pt idx="3">
                  <c:v>142</c:v>
                </c:pt>
                <c:pt idx="4">
                  <c:v>139</c:v>
                </c:pt>
                <c:pt idx="5">
                  <c:v>11</c:v>
                </c:pt>
                <c:pt idx="6">
                  <c:v>17</c:v>
                </c:pt>
                <c:pt idx="7">
                  <c:v>7</c:v>
                </c:pt>
                <c:pt idx="8">
                  <c:v>31</c:v>
                </c:pt>
              </c:numCache>
            </c:numRef>
          </c:val>
          <c:extLst>
            <c:ext xmlns:c16="http://schemas.microsoft.com/office/drawing/2014/chart" uri="{C3380CC4-5D6E-409C-BE32-E72D297353CC}">
              <c16:uniqueId val="{00000005-43CD-497C-B218-07E82716B160}"/>
            </c:ext>
          </c:extLst>
        </c:ser>
        <c:dLbls>
          <c:showLegendKey val="0"/>
          <c:showVal val="0"/>
          <c:showCatName val="0"/>
          <c:showSerName val="0"/>
          <c:showPercent val="0"/>
          <c:showBubbleSize val="0"/>
        </c:dLbls>
        <c:gapWidth val="75"/>
        <c:overlap val="-25"/>
        <c:axId val="127128320"/>
        <c:axId val="127129856"/>
      </c:barChart>
      <c:lineChart>
        <c:grouping val="standard"/>
        <c:varyColors val="0"/>
        <c:ser>
          <c:idx val="2"/>
          <c:order val="2"/>
          <c:tx>
            <c:strRef>
              <c:f>диаг.3.13!$A$4</c:f>
              <c:strCache>
                <c:ptCount val="1"/>
                <c:pt idx="0">
                  <c:v>уд.порывность по НГДУ</c:v>
                </c:pt>
              </c:strCache>
            </c:strRef>
          </c:tx>
          <c:spPr>
            <a:ln>
              <a:solidFill>
                <a:srgbClr val="0000FF"/>
              </a:solidFill>
            </a:ln>
          </c:spPr>
          <c:marker>
            <c:spPr>
              <a:solidFill>
                <a:srgbClr val="0000FF"/>
              </a:solidFill>
              <a:ln>
                <a:solidFill>
                  <a:srgbClr val="0000FF"/>
                </a:solidFill>
              </a:ln>
            </c:spPr>
          </c:marker>
          <c:dLbls>
            <c:dLbl>
              <c:idx val="5"/>
              <c:layout>
                <c:manualLayout>
                  <c:x val="-2.6939305420318187E-2"/>
                  <c:y val="2.992125984251968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3CD-497C-B218-07E82716B160}"/>
                </c:ext>
              </c:extLst>
            </c:dLbl>
            <c:dLbl>
              <c:idx val="7"/>
              <c:layout>
                <c:manualLayout>
                  <c:x val="-2.6939305420318187E-2"/>
                  <c:y val="2.78215223097112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3CD-497C-B218-07E82716B160}"/>
                </c:ext>
              </c:extLst>
            </c:dLbl>
            <c:spPr>
              <a:solidFill>
                <a:schemeClr val="bg1"/>
              </a:solidFill>
            </c:spPr>
            <c:txPr>
              <a:bodyPr/>
              <a:lstStyle/>
              <a:p>
                <a:pPr>
                  <a:defRPr sz="1000" b="1" i="0" u="none" strike="noStrike" baseline="0">
                    <a:solidFill>
                      <a:srgbClr val="0000FF"/>
                    </a:solidFill>
                    <a:latin typeface="Times New Roman"/>
                    <a:ea typeface="Times New Roman"/>
                    <a:cs typeface="Times New Roman"/>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диаг.3.13!$B$1:$J$1</c:f>
              <c:strCache>
                <c:ptCount val="9"/>
                <c:pt idx="0">
                  <c:v>ЛН</c:v>
                </c:pt>
                <c:pt idx="1">
                  <c:v>АН</c:v>
                </c:pt>
                <c:pt idx="2">
                  <c:v>АзН</c:v>
                </c:pt>
                <c:pt idx="3">
                  <c:v>ДН</c:v>
                </c:pt>
                <c:pt idx="4">
                  <c:v>ЕН</c:v>
                </c:pt>
                <c:pt idx="5">
                  <c:v>БН</c:v>
                </c:pt>
                <c:pt idx="6">
                  <c:v>ПН</c:v>
                </c:pt>
                <c:pt idx="7">
                  <c:v>ЯН</c:v>
                </c:pt>
                <c:pt idx="8">
                  <c:v>НН</c:v>
                </c:pt>
              </c:strCache>
            </c:strRef>
          </c:cat>
          <c:val>
            <c:numRef>
              <c:f>диаг.3.13!$B$4:$J$4</c:f>
              <c:numCache>
                <c:formatCode>0.000</c:formatCode>
                <c:ptCount val="9"/>
                <c:pt idx="0">
                  <c:v>8.6076E-2</c:v>
                </c:pt>
                <c:pt idx="1">
                  <c:v>8.4848000000000007E-2</c:v>
                </c:pt>
                <c:pt idx="2">
                  <c:v>5.041600000000012E-2</c:v>
                </c:pt>
                <c:pt idx="3">
                  <c:v>7.1795000000000012E-2</c:v>
                </c:pt>
                <c:pt idx="4">
                  <c:v>7.6614000000000002E-2</c:v>
                </c:pt>
                <c:pt idx="5">
                  <c:v>1.4200000000000001E-2</c:v>
                </c:pt>
                <c:pt idx="6">
                  <c:v>4.439200000000016E-2</c:v>
                </c:pt>
                <c:pt idx="7">
                  <c:v>2.6065000000000012E-2</c:v>
                </c:pt>
                <c:pt idx="8">
                  <c:v>6.88E-2</c:v>
                </c:pt>
              </c:numCache>
            </c:numRef>
          </c:val>
          <c:smooth val="0"/>
          <c:extLst>
            <c:ext xmlns:c16="http://schemas.microsoft.com/office/drawing/2014/chart" uri="{C3380CC4-5D6E-409C-BE32-E72D297353CC}">
              <c16:uniqueId val="{00000008-43CD-497C-B218-07E82716B160}"/>
            </c:ext>
          </c:extLst>
        </c:ser>
        <c:ser>
          <c:idx val="3"/>
          <c:order val="3"/>
          <c:tx>
            <c:strRef>
              <c:f>диаг.3.13!$A$5</c:f>
              <c:strCache>
                <c:ptCount val="1"/>
                <c:pt idx="0">
                  <c:v>уд.порывность ТН</c:v>
                </c:pt>
              </c:strCache>
            </c:strRef>
          </c:tx>
          <c:spPr>
            <a:ln w="25400">
              <a:solidFill>
                <a:srgbClr val="FF0000"/>
              </a:solidFill>
              <a:prstDash val="solid"/>
            </a:ln>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9-43CD-497C-B218-07E82716B160}"/>
                </c:ext>
              </c:extLst>
            </c:dLbl>
            <c:dLbl>
              <c:idx val="1"/>
              <c:delete val="1"/>
              <c:extLst>
                <c:ext xmlns:c15="http://schemas.microsoft.com/office/drawing/2012/chart" uri="{CE6537A1-D6FC-4f65-9D91-7224C49458BB}"/>
                <c:ext xmlns:c16="http://schemas.microsoft.com/office/drawing/2014/chart" uri="{C3380CC4-5D6E-409C-BE32-E72D297353CC}">
                  <c16:uniqueId val="{0000000A-43CD-497C-B218-07E82716B160}"/>
                </c:ext>
              </c:extLst>
            </c:dLbl>
            <c:dLbl>
              <c:idx val="2"/>
              <c:delete val="1"/>
              <c:extLst>
                <c:ext xmlns:c15="http://schemas.microsoft.com/office/drawing/2012/chart" uri="{CE6537A1-D6FC-4f65-9D91-7224C49458BB}"/>
                <c:ext xmlns:c16="http://schemas.microsoft.com/office/drawing/2014/chart" uri="{C3380CC4-5D6E-409C-BE32-E72D297353CC}">
                  <c16:uniqueId val="{0000000B-43CD-497C-B218-07E82716B160}"/>
                </c:ext>
              </c:extLst>
            </c:dLbl>
            <c:dLbl>
              <c:idx val="3"/>
              <c:delete val="1"/>
              <c:extLst>
                <c:ext xmlns:c15="http://schemas.microsoft.com/office/drawing/2012/chart" uri="{CE6537A1-D6FC-4f65-9D91-7224C49458BB}"/>
                <c:ext xmlns:c16="http://schemas.microsoft.com/office/drawing/2014/chart" uri="{C3380CC4-5D6E-409C-BE32-E72D297353CC}">
                  <c16:uniqueId val="{0000000C-43CD-497C-B218-07E82716B160}"/>
                </c:ext>
              </c:extLst>
            </c:dLbl>
            <c:dLbl>
              <c:idx val="4"/>
              <c:delete val="1"/>
              <c:extLst>
                <c:ext xmlns:c15="http://schemas.microsoft.com/office/drawing/2012/chart" uri="{CE6537A1-D6FC-4f65-9D91-7224C49458BB}"/>
                <c:ext xmlns:c16="http://schemas.microsoft.com/office/drawing/2014/chart" uri="{C3380CC4-5D6E-409C-BE32-E72D297353CC}">
                  <c16:uniqueId val="{0000000D-43CD-497C-B218-07E82716B160}"/>
                </c:ext>
              </c:extLst>
            </c:dLbl>
            <c:dLbl>
              <c:idx val="5"/>
              <c:delete val="1"/>
              <c:extLst>
                <c:ext xmlns:c15="http://schemas.microsoft.com/office/drawing/2012/chart" uri="{CE6537A1-D6FC-4f65-9D91-7224C49458BB}"/>
                <c:ext xmlns:c16="http://schemas.microsoft.com/office/drawing/2014/chart" uri="{C3380CC4-5D6E-409C-BE32-E72D297353CC}">
                  <c16:uniqueId val="{0000000E-43CD-497C-B218-07E82716B160}"/>
                </c:ext>
              </c:extLst>
            </c:dLbl>
            <c:dLbl>
              <c:idx val="6"/>
              <c:delete val="1"/>
              <c:extLst>
                <c:ext xmlns:c15="http://schemas.microsoft.com/office/drawing/2012/chart" uri="{CE6537A1-D6FC-4f65-9D91-7224C49458BB}"/>
                <c:ext xmlns:c16="http://schemas.microsoft.com/office/drawing/2014/chart" uri="{C3380CC4-5D6E-409C-BE32-E72D297353CC}">
                  <c16:uniqueId val="{0000000F-43CD-497C-B218-07E82716B160}"/>
                </c:ext>
              </c:extLst>
            </c:dLbl>
            <c:dLbl>
              <c:idx val="7"/>
              <c:delete val="1"/>
              <c:extLst>
                <c:ext xmlns:c15="http://schemas.microsoft.com/office/drawing/2012/chart" uri="{CE6537A1-D6FC-4f65-9D91-7224C49458BB}"/>
                <c:ext xmlns:c16="http://schemas.microsoft.com/office/drawing/2014/chart" uri="{C3380CC4-5D6E-409C-BE32-E72D297353CC}">
                  <c16:uniqueId val="{00000010-43CD-497C-B218-07E82716B160}"/>
                </c:ext>
              </c:extLst>
            </c:dLbl>
            <c:dLbl>
              <c:idx val="8"/>
              <c:layout>
                <c:manualLayout>
                  <c:x val="-2.9860434923726066E-2"/>
                  <c:y val="-1.8912527986156627E-2"/>
                </c:manualLayout>
              </c:layout>
              <c:tx>
                <c:rich>
                  <a:bodyPr/>
                  <a:lstStyle/>
                  <a:p>
                    <a:pPr>
                      <a:defRPr sz="1000" b="1" i="0" u="none" strike="noStrike" baseline="0">
                        <a:solidFill>
                          <a:srgbClr val="FF0000"/>
                        </a:solidFill>
                        <a:latin typeface="Times New Roman"/>
                        <a:ea typeface="Times New Roman"/>
                        <a:cs typeface="Times New Roman"/>
                      </a:defRPr>
                    </a:pPr>
                    <a:r>
                      <a:rPr lang="ru-RU"/>
                      <a:t>0,055</a:t>
                    </a:r>
                  </a:p>
                </c:rich>
              </c:tx>
              <c:spPr/>
              <c:dLblPos val="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43CD-497C-B218-07E82716B160}"/>
                </c:ext>
              </c:extLst>
            </c:dLbl>
            <c:spPr>
              <a:noFill/>
              <a:ln w="25400">
                <a:noFill/>
              </a:ln>
            </c:spPr>
            <c:txPr>
              <a:bodyPr/>
              <a:lstStyle/>
              <a:p>
                <a:pPr>
                  <a:defRPr sz="1000" b="0"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диаг.3.13!$B$1:$J$1</c:f>
              <c:strCache>
                <c:ptCount val="9"/>
                <c:pt idx="0">
                  <c:v>ЛН</c:v>
                </c:pt>
                <c:pt idx="1">
                  <c:v>АН</c:v>
                </c:pt>
                <c:pt idx="2">
                  <c:v>АзН</c:v>
                </c:pt>
                <c:pt idx="3">
                  <c:v>ДН</c:v>
                </c:pt>
                <c:pt idx="4">
                  <c:v>ЕН</c:v>
                </c:pt>
                <c:pt idx="5">
                  <c:v>БН</c:v>
                </c:pt>
                <c:pt idx="6">
                  <c:v>ПН</c:v>
                </c:pt>
                <c:pt idx="7">
                  <c:v>ЯН</c:v>
                </c:pt>
                <c:pt idx="8">
                  <c:v>НН</c:v>
                </c:pt>
              </c:strCache>
            </c:strRef>
          </c:cat>
          <c:val>
            <c:numRef>
              <c:f>диаг.3.13!$B$5:$J$5</c:f>
              <c:numCache>
                <c:formatCode>0.000</c:formatCode>
                <c:ptCount val="9"/>
                <c:pt idx="0">
                  <c:v>5.4775000000000004E-2</c:v>
                </c:pt>
                <c:pt idx="1">
                  <c:v>5.4775000000000004E-2</c:v>
                </c:pt>
                <c:pt idx="2">
                  <c:v>5.4775000000000004E-2</c:v>
                </c:pt>
                <c:pt idx="3">
                  <c:v>5.4775000000000004E-2</c:v>
                </c:pt>
                <c:pt idx="4">
                  <c:v>5.4775000000000004E-2</c:v>
                </c:pt>
                <c:pt idx="5">
                  <c:v>5.4775000000000004E-2</c:v>
                </c:pt>
                <c:pt idx="6">
                  <c:v>5.4775000000000004E-2</c:v>
                </c:pt>
                <c:pt idx="7">
                  <c:v>5.4775000000000004E-2</c:v>
                </c:pt>
                <c:pt idx="8">
                  <c:v>5.4775000000000004E-2</c:v>
                </c:pt>
              </c:numCache>
            </c:numRef>
          </c:val>
          <c:smooth val="0"/>
          <c:extLst>
            <c:ext xmlns:c16="http://schemas.microsoft.com/office/drawing/2014/chart" uri="{C3380CC4-5D6E-409C-BE32-E72D297353CC}">
              <c16:uniqueId val="{00000012-43CD-497C-B218-07E82716B160}"/>
            </c:ext>
          </c:extLst>
        </c:ser>
        <c:dLbls>
          <c:showLegendKey val="0"/>
          <c:showVal val="0"/>
          <c:showCatName val="0"/>
          <c:showSerName val="0"/>
          <c:showPercent val="0"/>
          <c:showBubbleSize val="0"/>
        </c:dLbls>
        <c:marker val="1"/>
        <c:smooth val="0"/>
        <c:axId val="128524288"/>
        <c:axId val="128525824"/>
      </c:lineChart>
      <c:catAx>
        <c:axId val="127128320"/>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7129856"/>
        <c:crosses val="autoZero"/>
        <c:auto val="1"/>
        <c:lblAlgn val="ctr"/>
        <c:lblOffset val="100"/>
        <c:noMultiLvlLbl val="0"/>
      </c:catAx>
      <c:valAx>
        <c:axId val="127129856"/>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7128320"/>
        <c:crosses val="autoZero"/>
        <c:crossBetween val="between"/>
      </c:valAx>
      <c:catAx>
        <c:axId val="128524288"/>
        <c:scaling>
          <c:orientation val="minMax"/>
        </c:scaling>
        <c:delete val="1"/>
        <c:axPos val="b"/>
        <c:numFmt formatCode="General" sourceLinked="1"/>
        <c:majorTickMark val="out"/>
        <c:minorTickMark val="none"/>
        <c:tickLblPos val="nextTo"/>
        <c:crossAx val="128525824"/>
        <c:crosses val="autoZero"/>
        <c:auto val="1"/>
        <c:lblAlgn val="ctr"/>
        <c:lblOffset val="100"/>
        <c:noMultiLvlLbl val="0"/>
      </c:catAx>
      <c:valAx>
        <c:axId val="128525824"/>
        <c:scaling>
          <c:orientation val="minMax"/>
        </c:scaling>
        <c:delete val="0"/>
        <c:axPos val="r"/>
        <c:numFmt formatCode="0.000" sourceLinked="1"/>
        <c:majorTickMark val="out"/>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28524288"/>
        <c:crosses val="max"/>
        <c:crossBetween val="between"/>
      </c:valAx>
    </c:plotArea>
    <c:legend>
      <c:legendPos val="b"/>
      <c:legendEntry>
        <c:idx val="3"/>
        <c:delete val="1"/>
      </c:legendEntry>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Распределение порывов по причинам за 2014-2017гг</a:t>
            </a:r>
          </a:p>
        </c:rich>
      </c:tx>
      <c:overlay val="0"/>
    </c:title>
    <c:autoTitleDeleted val="0"/>
    <c:plotArea>
      <c:layout/>
      <c:barChart>
        <c:barDir val="col"/>
        <c:grouping val="clustered"/>
        <c:varyColors val="0"/>
        <c:ser>
          <c:idx val="0"/>
          <c:order val="0"/>
          <c:tx>
            <c:strRef>
              <c:f>диаг.3.14!$A$3</c:f>
              <c:strCache>
                <c:ptCount val="1"/>
                <c:pt idx="0">
                  <c:v>порывы </c:v>
                </c:pt>
              </c:strCache>
            </c:strRef>
          </c:tx>
          <c:spPr>
            <a:solidFill>
              <a:srgbClr val="00B05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диаг.3.14!$B$1:$M$2</c:f>
              <c:multiLvlStrCache>
                <c:ptCount val="12"/>
                <c:lvl>
                  <c:pt idx="0">
                    <c:v>НК</c:v>
                  </c:pt>
                  <c:pt idx="1">
                    <c:v>ВК</c:v>
                  </c:pt>
                  <c:pt idx="2">
                    <c:v>КРН</c:v>
                  </c:pt>
                  <c:pt idx="3">
                    <c:v>Прочие </c:v>
                  </c:pt>
                  <c:pt idx="4">
                    <c:v>НК</c:v>
                  </c:pt>
                  <c:pt idx="5">
                    <c:v>ВК</c:v>
                  </c:pt>
                  <c:pt idx="6">
                    <c:v>КРН</c:v>
                  </c:pt>
                  <c:pt idx="7">
                    <c:v>Прочие </c:v>
                  </c:pt>
                  <c:pt idx="8">
                    <c:v>НК</c:v>
                  </c:pt>
                  <c:pt idx="9">
                    <c:v>ВК</c:v>
                  </c:pt>
                  <c:pt idx="10">
                    <c:v>КРН</c:v>
                  </c:pt>
                  <c:pt idx="11">
                    <c:v>Прочие </c:v>
                  </c:pt>
                </c:lvl>
                <c:lvl>
                  <c:pt idx="0">
                    <c:v>2015г</c:v>
                  </c:pt>
                  <c:pt idx="4">
                    <c:v>2016г</c:v>
                  </c:pt>
                  <c:pt idx="8">
                    <c:v>2017</c:v>
                  </c:pt>
                </c:lvl>
              </c:multiLvlStrCache>
            </c:multiLvlStrRef>
          </c:cat>
          <c:val>
            <c:numRef>
              <c:f>диаг.3.14!$B$3:$M$3</c:f>
              <c:numCache>
                <c:formatCode>General</c:formatCode>
                <c:ptCount val="12"/>
                <c:pt idx="0">
                  <c:v>47</c:v>
                </c:pt>
                <c:pt idx="1">
                  <c:v>119</c:v>
                </c:pt>
                <c:pt idx="2">
                  <c:v>26</c:v>
                </c:pt>
                <c:pt idx="3">
                  <c:v>14</c:v>
                </c:pt>
                <c:pt idx="4">
                  <c:v>42</c:v>
                </c:pt>
                <c:pt idx="5">
                  <c:v>174</c:v>
                </c:pt>
                <c:pt idx="6">
                  <c:v>23</c:v>
                </c:pt>
                <c:pt idx="7">
                  <c:v>14</c:v>
                </c:pt>
                <c:pt idx="8">
                  <c:v>37</c:v>
                </c:pt>
                <c:pt idx="9">
                  <c:v>97</c:v>
                </c:pt>
                <c:pt idx="10">
                  <c:v>13</c:v>
                </c:pt>
                <c:pt idx="11">
                  <c:v>14</c:v>
                </c:pt>
              </c:numCache>
            </c:numRef>
          </c:val>
          <c:extLst>
            <c:ext xmlns:c16="http://schemas.microsoft.com/office/drawing/2014/chart" uri="{C3380CC4-5D6E-409C-BE32-E72D297353CC}">
              <c16:uniqueId val="{00000000-1652-42D6-8CC9-E5908CEF1859}"/>
            </c:ext>
          </c:extLst>
        </c:ser>
        <c:dLbls>
          <c:showLegendKey val="0"/>
          <c:showVal val="0"/>
          <c:showCatName val="0"/>
          <c:showSerName val="0"/>
          <c:showPercent val="0"/>
          <c:showBubbleSize val="0"/>
        </c:dLbls>
        <c:gapWidth val="75"/>
        <c:overlap val="-25"/>
        <c:axId val="123282944"/>
        <c:axId val="123284480"/>
      </c:barChart>
      <c:catAx>
        <c:axId val="12328294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23284480"/>
        <c:crosses val="autoZero"/>
        <c:auto val="1"/>
        <c:lblAlgn val="ctr"/>
        <c:lblOffset val="100"/>
        <c:noMultiLvlLbl val="0"/>
      </c:catAx>
      <c:valAx>
        <c:axId val="123284480"/>
        <c:scaling>
          <c:orientation val="minMax"/>
          <c:max val="180"/>
          <c:min val="0"/>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23282944"/>
        <c:crosses val="autoZero"/>
        <c:crossBetween val="between"/>
      </c:valAx>
    </c:plotArea>
    <c:legend>
      <c:legendPos val="b"/>
      <c:overlay val="0"/>
      <c:txPr>
        <a:bodyPr/>
        <a:lstStyle/>
        <a:p>
          <a:pPr>
            <a:defRPr sz="545"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Порывы по причинам на пресных и сточных водоводах за 2017г</a:t>
            </a:r>
          </a:p>
        </c:rich>
      </c:tx>
      <c:overlay val="0"/>
    </c:title>
    <c:autoTitleDeleted val="0"/>
    <c:plotArea>
      <c:layout/>
      <c:barChart>
        <c:barDir val="col"/>
        <c:grouping val="clustered"/>
        <c:varyColors val="0"/>
        <c:ser>
          <c:idx val="0"/>
          <c:order val="0"/>
          <c:tx>
            <c:strRef>
              <c:f>диаг.3.15!$A$3</c:f>
              <c:strCache>
                <c:ptCount val="1"/>
                <c:pt idx="0">
                  <c:v>НК</c:v>
                </c:pt>
              </c:strCache>
            </c:strRef>
          </c:tx>
          <c:spPr>
            <a:solidFill>
              <a:schemeClr val="bg1">
                <a:lumMod val="50000"/>
              </a:schemeClr>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диаг.3.15!$B$1:$C$2</c:f>
              <c:multiLvlStrCache>
                <c:ptCount val="2"/>
                <c:lvl>
                  <c:pt idx="0">
                    <c:v>пресная</c:v>
                  </c:pt>
                  <c:pt idx="1">
                    <c:v>сточная</c:v>
                  </c:pt>
                </c:lvl>
                <c:lvl>
                  <c:pt idx="0">
                    <c:v>ЦППД</c:v>
                  </c:pt>
                </c:lvl>
              </c:multiLvlStrCache>
            </c:multiLvlStrRef>
          </c:cat>
          <c:val>
            <c:numRef>
              <c:f>диаг.3.15!$B$3:$C$3</c:f>
              <c:numCache>
                <c:formatCode>General</c:formatCode>
                <c:ptCount val="2"/>
                <c:pt idx="0">
                  <c:v>4</c:v>
                </c:pt>
                <c:pt idx="1">
                  <c:v>33</c:v>
                </c:pt>
              </c:numCache>
            </c:numRef>
          </c:val>
          <c:extLst>
            <c:ext xmlns:c16="http://schemas.microsoft.com/office/drawing/2014/chart" uri="{C3380CC4-5D6E-409C-BE32-E72D297353CC}">
              <c16:uniqueId val="{00000000-09AF-46D8-BDDE-AF9F261DB7B5}"/>
            </c:ext>
          </c:extLst>
        </c:ser>
        <c:ser>
          <c:idx val="1"/>
          <c:order val="1"/>
          <c:tx>
            <c:strRef>
              <c:f>диаг.3.15!$A$4</c:f>
              <c:strCache>
                <c:ptCount val="1"/>
                <c:pt idx="0">
                  <c:v>ВК</c:v>
                </c:pt>
              </c:strCache>
            </c:strRef>
          </c:tx>
          <c:spPr>
            <a:solidFill>
              <a:srgbClr val="00B05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диаг.3.15!$B$1:$C$2</c:f>
              <c:multiLvlStrCache>
                <c:ptCount val="2"/>
                <c:lvl>
                  <c:pt idx="0">
                    <c:v>пресная</c:v>
                  </c:pt>
                  <c:pt idx="1">
                    <c:v>сточная</c:v>
                  </c:pt>
                </c:lvl>
                <c:lvl>
                  <c:pt idx="0">
                    <c:v>ЦППД</c:v>
                  </c:pt>
                </c:lvl>
              </c:multiLvlStrCache>
            </c:multiLvlStrRef>
          </c:cat>
          <c:val>
            <c:numRef>
              <c:f>диаг.3.15!$B$4:$C$4</c:f>
              <c:numCache>
                <c:formatCode>General</c:formatCode>
                <c:ptCount val="2"/>
                <c:pt idx="0">
                  <c:v>11</c:v>
                </c:pt>
                <c:pt idx="1">
                  <c:v>86</c:v>
                </c:pt>
              </c:numCache>
            </c:numRef>
          </c:val>
          <c:extLst>
            <c:ext xmlns:c16="http://schemas.microsoft.com/office/drawing/2014/chart" uri="{C3380CC4-5D6E-409C-BE32-E72D297353CC}">
              <c16:uniqueId val="{00000001-09AF-46D8-BDDE-AF9F261DB7B5}"/>
            </c:ext>
          </c:extLst>
        </c:ser>
        <c:ser>
          <c:idx val="3"/>
          <c:order val="2"/>
          <c:tx>
            <c:strRef>
              <c:f>диаг.3.15!$A$5</c:f>
              <c:strCache>
                <c:ptCount val="1"/>
                <c:pt idx="0">
                  <c:v>КРН</c:v>
                </c:pt>
              </c:strCache>
            </c:strRef>
          </c:tx>
          <c:spPr>
            <a:solidFill>
              <a:srgbClr val="FF0000"/>
            </a:solidFill>
          </c:spPr>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диаг.3.15!$B$1:$C$2</c:f>
              <c:multiLvlStrCache>
                <c:ptCount val="2"/>
                <c:lvl>
                  <c:pt idx="0">
                    <c:v>пресная</c:v>
                  </c:pt>
                  <c:pt idx="1">
                    <c:v>сточная</c:v>
                  </c:pt>
                </c:lvl>
                <c:lvl>
                  <c:pt idx="0">
                    <c:v>ЦППД</c:v>
                  </c:pt>
                </c:lvl>
              </c:multiLvlStrCache>
            </c:multiLvlStrRef>
          </c:cat>
          <c:val>
            <c:numRef>
              <c:f>диаг.3.15!$B$5:$C$5</c:f>
              <c:numCache>
                <c:formatCode>General</c:formatCode>
                <c:ptCount val="2"/>
                <c:pt idx="0">
                  <c:v>3</c:v>
                </c:pt>
                <c:pt idx="1">
                  <c:v>10</c:v>
                </c:pt>
              </c:numCache>
            </c:numRef>
          </c:val>
          <c:extLst>
            <c:ext xmlns:c16="http://schemas.microsoft.com/office/drawing/2014/chart" uri="{C3380CC4-5D6E-409C-BE32-E72D297353CC}">
              <c16:uniqueId val="{00000002-09AF-46D8-BDDE-AF9F261DB7B5}"/>
            </c:ext>
          </c:extLst>
        </c:ser>
        <c:ser>
          <c:idx val="4"/>
          <c:order val="3"/>
          <c:tx>
            <c:strRef>
              <c:f>диаг.3.15!$A$6</c:f>
              <c:strCache>
                <c:ptCount val="1"/>
                <c:pt idx="0">
                  <c:v>прочие</c:v>
                </c:pt>
              </c:strCache>
            </c:strRef>
          </c:tx>
          <c:invertIfNegative val="0"/>
          <c:dLbls>
            <c:spPr>
              <a:noFill/>
              <a:ln w="25400">
                <a:noFill/>
              </a:ln>
            </c:spPr>
            <c:txPr>
              <a:bodyPr wrap="square" lIns="38100" tIns="19050" rIns="38100" bIns="19050" anchor="ctr">
                <a:spAutoFit/>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multiLvlStrRef>
              <c:f>диаг.3.15!$B$1:$C$2</c:f>
              <c:multiLvlStrCache>
                <c:ptCount val="2"/>
                <c:lvl>
                  <c:pt idx="0">
                    <c:v>пресная</c:v>
                  </c:pt>
                  <c:pt idx="1">
                    <c:v>сточная</c:v>
                  </c:pt>
                </c:lvl>
                <c:lvl>
                  <c:pt idx="0">
                    <c:v>ЦППД</c:v>
                  </c:pt>
                </c:lvl>
              </c:multiLvlStrCache>
            </c:multiLvlStrRef>
          </c:cat>
          <c:val>
            <c:numRef>
              <c:f>диаг.3.15!$B$6:$C$6</c:f>
              <c:numCache>
                <c:formatCode>General</c:formatCode>
                <c:ptCount val="2"/>
                <c:pt idx="0">
                  <c:v>1</c:v>
                </c:pt>
                <c:pt idx="1">
                  <c:v>13</c:v>
                </c:pt>
              </c:numCache>
            </c:numRef>
          </c:val>
          <c:extLst>
            <c:ext xmlns:c16="http://schemas.microsoft.com/office/drawing/2014/chart" uri="{C3380CC4-5D6E-409C-BE32-E72D297353CC}">
              <c16:uniqueId val="{00000003-09AF-46D8-BDDE-AF9F261DB7B5}"/>
            </c:ext>
          </c:extLst>
        </c:ser>
        <c:dLbls>
          <c:showLegendKey val="0"/>
          <c:showVal val="0"/>
          <c:showCatName val="0"/>
          <c:showSerName val="0"/>
          <c:showPercent val="0"/>
          <c:showBubbleSize val="0"/>
        </c:dLbls>
        <c:gapWidth val="75"/>
        <c:overlap val="-25"/>
        <c:axId val="134498944"/>
        <c:axId val="134508928"/>
      </c:barChart>
      <c:catAx>
        <c:axId val="13449894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34508928"/>
        <c:crosses val="autoZero"/>
        <c:auto val="1"/>
        <c:lblAlgn val="ctr"/>
        <c:lblOffset val="100"/>
        <c:noMultiLvlLbl val="0"/>
      </c:catAx>
      <c:valAx>
        <c:axId val="134508928"/>
        <c:scaling>
          <c:orientation val="minMax"/>
          <c:max val="170"/>
          <c:min val="0"/>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34498944"/>
        <c:crosses val="autoZero"/>
        <c:crossBetween val="between"/>
      </c:valAx>
      <c:spPr>
        <a:noFill/>
        <a:ln w="25400">
          <a:noFill/>
        </a:ln>
      </c:spPr>
    </c:plotArea>
    <c:legend>
      <c:legendPos val="b"/>
      <c:layout>
        <c:manualLayout>
          <c:xMode val="edge"/>
          <c:yMode val="edge"/>
          <c:x val="0.27153713570234855"/>
          <c:y val="0.92403083672511965"/>
          <c:w val="0.47347740215107842"/>
          <c:h val="5.6645491777295866E-2"/>
        </c:manualLayout>
      </c:layout>
      <c:overlay val="0"/>
      <c:txPr>
        <a:bodyPr/>
        <a:lstStyle/>
        <a:p>
          <a:pPr>
            <a:defRPr sz="70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00" b="1" i="0" u="none" strike="noStrike" baseline="0">
                <a:solidFill>
                  <a:srgbClr val="000000"/>
                </a:solidFill>
                <a:latin typeface="Times New Roman"/>
                <a:ea typeface="Times New Roman"/>
                <a:cs typeface="Times New Roman"/>
              </a:defRPr>
            </a:pPr>
            <a:r>
              <a:rPr lang="ru-RU"/>
              <a:t>Распределение порывов по срокам эксплуатации на пресных водоводах за 2017 год</a:t>
            </a:r>
          </a:p>
        </c:rich>
      </c:tx>
      <c:overlay val="0"/>
    </c:title>
    <c:autoTitleDeleted val="0"/>
    <c:plotArea>
      <c:layout/>
      <c:lineChart>
        <c:grouping val="standard"/>
        <c:varyColors val="0"/>
        <c:ser>
          <c:idx val="0"/>
          <c:order val="0"/>
          <c:tx>
            <c:strRef>
              <c:f>диаг.3.17!$B$1</c:f>
              <c:strCache>
                <c:ptCount val="1"/>
                <c:pt idx="0">
                  <c:v>разв</c:v>
                </c:pt>
              </c:strCache>
            </c:strRef>
          </c:tx>
          <c:spPr>
            <a:ln w="25400">
              <a:solidFill>
                <a:srgbClr val="00B050"/>
              </a:solidFill>
              <a:prstDash val="solid"/>
            </a:ln>
          </c:spPr>
          <c:marker>
            <c:spPr>
              <a:solidFill>
                <a:srgbClr val="00B050"/>
              </a:solidFill>
            </c:spPr>
          </c:marker>
          <c:dLbls>
            <c:spPr>
              <a:noFill/>
              <a:ln w="25400">
                <a:noFill/>
              </a:ln>
            </c:spPr>
            <c:txPr>
              <a:bodyPr wrap="square" lIns="38100" tIns="19050" rIns="38100" bIns="19050" anchor="ctr">
                <a:spAutoFit/>
              </a:bodyPr>
              <a:lstStyle/>
              <a:p>
                <a:pPr>
                  <a:defRPr sz="1000" b="0" i="0" u="none" strike="noStrike" baseline="0">
                    <a:solidFill>
                      <a:srgbClr val="00B050"/>
                    </a:solidFill>
                    <a:latin typeface="Calibri"/>
                    <a:ea typeface="Calibri"/>
                    <a:cs typeface="Calibri"/>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диаг.3.17!$A$2:$A$6</c:f>
              <c:strCache>
                <c:ptCount val="5"/>
                <c:pt idx="0">
                  <c:v>до 5 лет</c:v>
                </c:pt>
                <c:pt idx="1">
                  <c:v>5-10 лет</c:v>
                </c:pt>
                <c:pt idx="2">
                  <c:v>10-15 лет</c:v>
                </c:pt>
                <c:pt idx="3">
                  <c:v>15-20 лет</c:v>
                </c:pt>
                <c:pt idx="4">
                  <c:v>более 20 лет</c:v>
                </c:pt>
              </c:strCache>
            </c:strRef>
          </c:cat>
          <c:val>
            <c:numRef>
              <c:f>диаг.3.17!$B$2:$B$6</c:f>
              <c:numCache>
                <c:formatCode>General</c:formatCode>
                <c:ptCount val="5"/>
                <c:pt idx="0">
                  <c:v>0</c:v>
                </c:pt>
                <c:pt idx="1">
                  <c:v>1</c:v>
                </c:pt>
                <c:pt idx="2">
                  <c:v>0</c:v>
                </c:pt>
                <c:pt idx="3">
                  <c:v>0</c:v>
                </c:pt>
                <c:pt idx="4">
                  <c:v>17</c:v>
                </c:pt>
              </c:numCache>
            </c:numRef>
          </c:val>
          <c:smooth val="0"/>
          <c:extLst>
            <c:ext xmlns:c16="http://schemas.microsoft.com/office/drawing/2014/chart" uri="{C3380CC4-5D6E-409C-BE32-E72D297353CC}">
              <c16:uniqueId val="{00000000-B24B-43FC-A05A-338A804C1115}"/>
            </c:ext>
          </c:extLst>
        </c:ser>
        <c:ser>
          <c:idx val="1"/>
          <c:order val="1"/>
          <c:tx>
            <c:strRef>
              <c:f>диаг.3.17!$C$1</c:f>
              <c:strCache>
                <c:ptCount val="1"/>
                <c:pt idx="0">
                  <c:v>подв</c:v>
                </c:pt>
              </c:strCache>
            </c:strRef>
          </c:tx>
          <c:spPr>
            <a:ln>
              <a:solidFill>
                <a:srgbClr val="FF0000"/>
              </a:solidFill>
            </a:ln>
          </c:spPr>
          <c:marker>
            <c:spPr>
              <a:solidFill>
                <a:srgbClr val="FF0000"/>
              </a:solidFill>
            </c:spPr>
          </c:marker>
          <c:dLbls>
            <c:spPr>
              <a:noFill/>
              <a:ln w="25400">
                <a:noFill/>
              </a:ln>
            </c:spPr>
            <c:txPr>
              <a:bodyPr wrap="square" lIns="38100" tIns="19050" rIns="38100" bIns="19050" anchor="ctr">
                <a:spAutoFit/>
              </a:bodyPr>
              <a:lstStyle/>
              <a:p>
                <a:pPr>
                  <a:defRPr sz="1000" b="0" i="0" u="none" strike="noStrike" baseline="0">
                    <a:solidFill>
                      <a:srgbClr val="FF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диаг.3.17!$A$2:$A$6</c:f>
              <c:strCache>
                <c:ptCount val="5"/>
                <c:pt idx="0">
                  <c:v>до 5 лет</c:v>
                </c:pt>
                <c:pt idx="1">
                  <c:v>5-10 лет</c:v>
                </c:pt>
                <c:pt idx="2">
                  <c:v>10-15 лет</c:v>
                </c:pt>
                <c:pt idx="3">
                  <c:v>15-20 лет</c:v>
                </c:pt>
                <c:pt idx="4">
                  <c:v>более 20 лет</c:v>
                </c:pt>
              </c:strCache>
            </c:strRef>
          </c:cat>
          <c:val>
            <c:numRef>
              <c:f>диаг.3.17!$C$2:$C$6</c:f>
              <c:numCache>
                <c:formatCode>General</c:formatCode>
                <c:ptCount val="5"/>
                <c:pt idx="0">
                  <c:v>0</c:v>
                </c:pt>
                <c:pt idx="1">
                  <c:v>0</c:v>
                </c:pt>
                <c:pt idx="2">
                  <c:v>0</c:v>
                </c:pt>
                <c:pt idx="3">
                  <c:v>0</c:v>
                </c:pt>
                <c:pt idx="4">
                  <c:v>1</c:v>
                </c:pt>
              </c:numCache>
            </c:numRef>
          </c:val>
          <c:smooth val="0"/>
          <c:extLst>
            <c:ext xmlns:c16="http://schemas.microsoft.com/office/drawing/2014/chart" uri="{C3380CC4-5D6E-409C-BE32-E72D297353CC}">
              <c16:uniqueId val="{00000001-B24B-43FC-A05A-338A804C1115}"/>
            </c:ext>
          </c:extLst>
        </c:ser>
        <c:dLbls>
          <c:showLegendKey val="0"/>
          <c:showVal val="0"/>
          <c:showCatName val="0"/>
          <c:showSerName val="0"/>
          <c:showPercent val="0"/>
          <c:showBubbleSize val="0"/>
        </c:dLbls>
        <c:marker val="1"/>
        <c:smooth val="0"/>
        <c:axId val="134524288"/>
        <c:axId val="134433792"/>
      </c:lineChart>
      <c:catAx>
        <c:axId val="134524288"/>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34433792"/>
        <c:crosses val="autoZero"/>
        <c:auto val="1"/>
        <c:lblAlgn val="ctr"/>
        <c:lblOffset val="100"/>
        <c:noMultiLvlLbl val="0"/>
      </c:catAx>
      <c:valAx>
        <c:axId val="134433792"/>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34524288"/>
        <c:crosses val="autoZero"/>
        <c:crossBetween val="between"/>
      </c:valAx>
    </c:plotArea>
    <c:legend>
      <c:legendPos val="b"/>
      <c:overlay val="0"/>
      <c:txPr>
        <a:bodyPr/>
        <a:lstStyle/>
        <a:p>
          <a:pPr>
            <a:defRPr sz="65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b="1" i="0" u="none" strike="noStrike" baseline="0">
                <a:solidFill>
                  <a:srgbClr val="000000"/>
                </a:solidFill>
                <a:latin typeface="Times New Roman"/>
                <a:ea typeface="Times New Roman"/>
                <a:cs typeface="Times New Roman"/>
              </a:defRPr>
            </a:pPr>
            <a:r>
              <a:rPr lang="ru-RU"/>
              <a:t>Сравнительная диаграмма по порывности на водоводах, защищённых МПТ за 2015-2017г.г.</a:t>
            </a:r>
          </a:p>
        </c:rich>
      </c:tx>
      <c:overlay val="0"/>
    </c:title>
    <c:autoTitleDeleted val="0"/>
    <c:plotArea>
      <c:layout>
        <c:manualLayout>
          <c:layoutTarget val="inner"/>
          <c:xMode val="edge"/>
          <c:yMode val="edge"/>
          <c:x val="0.10778271948929412"/>
          <c:y val="0.13631387292804589"/>
          <c:w val="0.8797969827164297"/>
          <c:h val="0.6493878130098617"/>
        </c:manualLayout>
      </c:layout>
      <c:barChart>
        <c:barDir val="col"/>
        <c:grouping val="clustered"/>
        <c:varyColors val="0"/>
        <c:ser>
          <c:idx val="0"/>
          <c:order val="0"/>
          <c:tx>
            <c:strRef>
              <c:f>диаг.3.19!$C$1</c:f>
              <c:strCache>
                <c:ptCount val="1"/>
                <c:pt idx="0">
                  <c:v>2015</c:v>
                </c:pt>
              </c:strCache>
            </c:strRef>
          </c:tx>
          <c:spPr>
            <a:solidFill>
              <a:schemeClr val="bg1">
                <a:lumMod val="50000"/>
              </a:schemeClr>
            </a:solidFill>
          </c:spPr>
          <c:invertIfNegative val="0"/>
          <c:dLbls>
            <c:dLbl>
              <c:idx val="0"/>
              <c:layout>
                <c:manualLayout>
                  <c:x val="-1.1887072808320961E-2"/>
                  <c:y val="1.2012012012012015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F59-4BF2-B96C-D4F823353325}"/>
                </c:ext>
              </c:extLst>
            </c:dLbl>
            <c:dLbl>
              <c:idx val="1"/>
              <c:layout>
                <c:manualLayout>
                  <c:x val="-1.58494304110946E-2"/>
                  <c:y val="1.8018018018018101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F59-4BF2-B96C-D4F823353325}"/>
                </c:ext>
              </c:extLst>
            </c:dLbl>
            <c:dLbl>
              <c:idx val="2"/>
              <c:layout>
                <c:manualLayout>
                  <c:x val="-9.9058940069341531E-3"/>
                  <c:y val="1.8018018018017983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F59-4BF2-B96C-D4F823353325}"/>
                </c:ext>
              </c:extLst>
            </c:dLbl>
            <c:dLbl>
              <c:idx val="11"/>
              <c:layout>
                <c:manualLayout>
                  <c:x val="-1.9811788013868306E-2"/>
                  <c:y val="2.4024024024024031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F59-4BF2-B96C-D4F823353325}"/>
                </c:ext>
              </c:extLst>
            </c:dLbl>
            <c:dLbl>
              <c:idx val="12"/>
              <c:layout>
                <c:manualLayout>
                  <c:x val="-1.1887072808320961E-2"/>
                  <c:y val="2.1021021021021036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F59-4BF2-B96C-D4F823353325}"/>
                </c:ext>
              </c:extLst>
            </c:dLbl>
            <c:spPr>
              <a:noFill/>
              <a:ln w="25400">
                <a:noFill/>
              </a:ln>
            </c:spPr>
            <c:txPr>
              <a:bodyPr wrap="square" lIns="38100" tIns="19050" rIns="38100" bIns="19050" anchor="ctr">
                <a:spAutoFit/>
              </a:bodyPr>
              <a:lstStyle/>
              <a:p>
                <a:pPr>
                  <a:defRPr sz="8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диаг.3.19!$A$2:$A$16</c:f>
              <c:strCache>
                <c:ptCount val="15"/>
                <c:pt idx="0">
                  <c:v>высокого давления</c:v>
                </c:pt>
                <c:pt idx="1">
                  <c:v>по закачке сточных вод</c:v>
                </c:pt>
                <c:pt idx="2">
                  <c:v>их них на МПТ</c:v>
                </c:pt>
                <c:pt idx="3">
                  <c:v>на простых вставках</c:v>
                </c:pt>
                <c:pt idx="4">
                  <c:v>по закачке пресных вод</c:v>
                </c:pt>
                <c:pt idx="5">
                  <c:v>из них на МПТ</c:v>
                </c:pt>
                <c:pt idx="6">
                  <c:v>низкого давления</c:v>
                </c:pt>
                <c:pt idx="7">
                  <c:v>водоводы пресных вод</c:v>
                </c:pt>
                <c:pt idx="8">
                  <c:v>водоводы сточных вод</c:v>
                </c:pt>
                <c:pt idx="9">
                  <c:v>из них на МПТ</c:v>
                </c:pt>
                <c:pt idx="10">
                  <c:v>на простых вставках</c:v>
                </c:pt>
                <c:pt idx="11">
                  <c:v>Всего порывов</c:v>
                </c:pt>
                <c:pt idx="12">
                  <c:v>из них сточных вод</c:v>
                </c:pt>
                <c:pt idx="13">
                  <c:v>из них на МПТ</c:v>
                </c:pt>
                <c:pt idx="14">
                  <c:v>на простых вставках</c:v>
                </c:pt>
              </c:strCache>
            </c:strRef>
          </c:cat>
          <c:val>
            <c:numRef>
              <c:f>диаг.3.19!$C$2:$C$16</c:f>
              <c:numCache>
                <c:formatCode>General</c:formatCode>
                <c:ptCount val="15"/>
                <c:pt idx="0">
                  <c:v>162</c:v>
                </c:pt>
                <c:pt idx="1">
                  <c:v>139</c:v>
                </c:pt>
                <c:pt idx="2">
                  <c:v>132</c:v>
                </c:pt>
                <c:pt idx="3">
                  <c:v>33</c:v>
                </c:pt>
                <c:pt idx="4">
                  <c:v>23</c:v>
                </c:pt>
                <c:pt idx="5">
                  <c:v>1</c:v>
                </c:pt>
                <c:pt idx="6">
                  <c:v>44</c:v>
                </c:pt>
                <c:pt idx="7">
                  <c:v>3</c:v>
                </c:pt>
                <c:pt idx="8">
                  <c:v>41</c:v>
                </c:pt>
                <c:pt idx="9">
                  <c:v>41</c:v>
                </c:pt>
                <c:pt idx="10">
                  <c:v>3</c:v>
                </c:pt>
                <c:pt idx="11">
                  <c:v>206</c:v>
                </c:pt>
                <c:pt idx="12">
                  <c:v>180</c:v>
                </c:pt>
                <c:pt idx="13">
                  <c:v>173</c:v>
                </c:pt>
                <c:pt idx="14">
                  <c:v>36</c:v>
                </c:pt>
              </c:numCache>
            </c:numRef>
          </c:val>
          <c:extLst>
            <c:ext xmlns:c16="http://schemas.microsoft.com/office/drawing/2014/chart" uri="{C3380CC4-5D6E-409C-BE32-E72D297353CC}">
              <c16:uniqueId val="{00000005-6F59-4BF2-B96C-D4F823353325}"/>
            </c:ext>
          </c:extLst>
        </c:ser>
        <c:ser>
          <c:idx val="1"/>
          <c:order val="1"/>
          <c:tx>
            <c:strRef>
              <c:f>диаг.3.19!$D$1</c:f>
              <c:strCache>
                <c:ptCount val="1"/>
                <c:pt idx="0">
                  <c:v>2016</c:v>
                </c:pt>
              </c:strCache>
            </c:strRef>
          </c:tx>
          <c:spPr>
            <a:solidFill>
              <a:srgbClr val="FF0000"/>
            </a:solidFill>
          </c:spPr>
          <c:invertIfNegative val="0"/>
          <c:dLbls>
            <c:dLbl>
              <c:idx val="0"/>
              <c:layout>
                <c:manualLayout>
                  <c:x val="5.9435364041604865E-3"/>
                  <c:y val="6.0060060060060094E-3"/>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F59-4BF2-B96C-D4F823353325}"/>
                </c:ext>
              </c:extLst>
            </c:dLbl>
            <c:dLbl>
              <c:idx val="1"/>
              <c:layout>
                <c:manualLayout>
                  <c:x val="-3.9623576027736579E-3"/>
                  <c:y val="1.2012012012012015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F59-4BF2-B96C-D4F823353325}"/>
                </c:ext>
              </c:extLst>
            </c:dLbl>
            <c:dLbl>
              <c:idx val="2"/>
              <c:layout>
                <c:manualLayout>
                  <c:x val="0"/>
                  <c:y val="0"/>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F59-4BF2-B96C-D4F823353325}"/>
                </c:ext>
              </c:extLst>
            </c:dLbl>
            <c:dLbl>
              <c:idx val="3"/>
              <c:layout>
                <c:manualLayout>
                  <c:x val="-1.9811788013868316E-3"/>
                  <c:y val="1.5015015015015041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F59-4BF2-B96C-D4F823353325}"/>
                </c:ext>
              </c:extLst>
            </c:dLbl>
            <c:dLbl>
              <c:idx val="4"/>
              <c:layout>
                <c:manualLayout>
                  <c:x val="5.9435364041604865E-3"/>
                  <c:y val="9.0090090090090384E-3"/>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F59-4BF2-B96C-D4F823353325}"/>
                </c:ext>
              </c:extLst>
            </c:dLbl>
            <c:dLbl>
              <c:idx val="6"/>
              <c:layout>
                <c:manualLayout>
                  <c:x val="5.9435364041604865E-3"/>
                  <c:y val="0"/>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F59-4BF2-B96C-D4F823353325}"/>
                </c:ext>
              </c:extLst>
            </c:dLbl>
            <c:dLbl>
              <c:idx val="8"/>
              <c:layout>
                <c:manualLayout>
                  <c:x val="1.9811788013868316E-3"/>
                  <c:y val="6.0060060060060094E-3"/>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F59-4BF2-B96C-D4F823353325}"/>
                </c:ext>
              </c:extLst>
            </c:dLbl>
            <c:dLbl>
              <c:idx val="9"/>
              <c:layout>
                <c:manualLayout>
                  <c:x val="3.9623576027737256E-3"/>
                  <c:y val="9.0090090090090384E-3"/>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6F59-4BF2-B96C-D4F823353325}"/>
                </c:ext>
              </c:extLst>
            </c:dLbl>
            <c:dLbl>
              <c:idx val="11"/>
              <c:layout>
                <c:manualLayout>
                  <c:x val="3.9623576027736579E-3"/>
                  <c:y val="-1.2012012012012015E-2"/>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F59-4BF2-B96C-D4F823353325}"/>
                </c:ext>
              </c:extLst>
            </c:dLbl>
            <c:dLbl>
              <c:idx val="12"/>
              <c:layout>
                <c:manualLayout>
                  <c:x val="-5.9435364041604865E-3"/>
                  <c:y val="6.0060060060060094E-3"/>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6F59-4BF2-B96C-D4F823353325}"/>
                </c:ext>
              </c:extLst>
            </c:dLbl>
            <c:dLbl>
              <c:idx val="13"/>
              <c:layout>
                <c:manualLayout>
                  <c:x val="9.9058940069341531E-3"/>
                  <c:y val="-5.5054419061708552E-17"/>
                </c:manualLayout>
              </c:layout>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6F59-4BF2-B96C-D4F823353325}"/>
                </c:ext>
              </c:extLst>
            </c:dLbl>
            <c:spPr>
              <a:noFill/>
              <a:ln w="25400">
                <a:noFill/>
              </a:ln>
            </c:spPr>
            <c:txPr>
              <a:bodyPr wrap="square" lIns="38100" tIns="19050" rIns="38100" bIns="19050" anchor="ctr">
                <a:spAutoFit/>
              </a:bodyPr>
              <a:lstStyle/>
              <a:p>
                <a:pPr>
                  <a:defRPr sz="8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диаг.3.19!$A$2:$A$16</c:f>
              <c:strCache>
                <c:ptCount val="15"/>
                <c:pt idx="0">
                  <c:v>высокого давления</c:v>
                </c:pt>
                <c:pt idx="1">
                  <c:v>по закачке сточных вод</c:v>
                </c:pt>
                <c:pt idx="2">
                  <c:v>их них на МПТ</c:v>
                </c:pt>
                <c:pt idx="3">
                  <c:v>на простых вставках</c:v>
                </c:pt>
                <c:pt idx="4">
                  <c:v>по закачке пресных вод</c:v>
                </c:pt>
                <c:pt idx="5">
                  <c:v>из них на МПТ</c:v>
                </c:pt>
                <c:pt idx="6">
                  <c:v>низкого давления</c:v>
                </c:pt>
                <c:pt idx="7">
                  <c:v>водоводы пресных вод</c:v>
                </c:pt>
                <c:pt idx="8">
                  <c:v>водоводы сточных вод</c:v>
                </c:pt>
                <c:pt idx="9">
                  <c:v>из них на МПТ</c:v>
                </c:pt>
                <c:pt idx="10">
                  <c:v>на простых вставках</c:v>
                </c:pt>
                <c:pt idx="11">
                  <c:v>Всего порывов</c:v>
                </c:pt>
                <c:pt idx="12">
                  <c:v>из них сточных вод</c:v>
                </c:pt>
                <c:pt idx="13">
                  <c:v>из них на МПТ</c:v>
                </c:pt>
                <c:pt idx="14">
                  <c:v>на простых вставках</c:v>
                </c:pt>
              </c:strCache>
            </c:strRef>
          </c:cat>
          <c:val>
            <c:numRef>
              <c:f>диаг.3.19!$D$2:$D$16</c:f>
              <c:numCache>
                <c:formatCode>General</c:formatCode>
                <c:ptCount val="15"/>
                <c:pt idx="0">
                  <c:v>190</c:v>
                </c:pt>
                <c:pt idx="1">
                  <c:v>160</c:v>
                </c:pt>
                <c:pt idx="2">
                  <c:v>150</c:v>
                </c:pt>
                <c:pt idx="3">
                  <c:v>28</c:v>
                </c:pt>
                <c:pt idx="4">
                  <c:v>30</c:v>
                </c:pt>
                <c:pt idx="5">
                  <c:v>1</c:v>
                </c:pt>
                <c:pt idx="6">
                  <c:v>63</c:v>
                </c:pt>
                <c:pt idx="7">
                  <c:v>0</c:v>
                </c:pt>
                <c:pt idx="8">
                  <c:v>63</c:v>
                </c:pt>
                <c:pt idx="9">
                  <c:v>63</c:v>
                </c:pt>
                <c:pt idx="10">
                  <c:v>0</c:v>
                </c:pt>
                <c:pt idx="11">
                  <c:v>253</c:v>
                </c:pt>
                <c:pt idx="12">
                  <c:v>223</c:v>
                </c:pt>
                <c:pt idx="13">
                  <c:v>213</c:v>
                </c:pt>
                <c:pt idx="14">
                  <c:v>28</c:v>
                </c:pt>
              </c:numCache>
            </c:numRef>
          </c:val>
          <c:extLst>
            <c:ext xmlns:c16="http://schemas.microsoft.com/office/drawing/2014/chart" uri="{C3380CC4-5D6E-409C-BE32-E72D297353CC}">
              <c16:uniqueId val="{00000011-6F59-4BF2-B96C-D4F823353325}"/>
            </c:ext>
          </c:extLst>
        </c:ser>
        <c:ser>
          <c:idx val="2"/>
          <c:order val="2"/>
          <c:tx>
            <c:strRef>
              <c:f>диаг.3.19!$E$1</c:f>
              <c:strCache>
                <c:ptCount val="1"/>
                <c:pt idx="0">
                  <c:v>2017</c:v>
                </c:pt>
              </c:strCache>
            </c:strRef>
          </c:tx>
          <c:spPr>
            <a:solidFill>
              <a:srgbClr val="00B050"/>
            </a:solidFill>
          </c:spPr>
          <c:invertIfNegative val="0"/>
          <c:cat>
            <c:strRef>
              <c:f>диаг.3.19!$A$2:$A$16</c:f>
              <c:strCache>
                <c:ptCount val="15"/>
                <c:pt idx="0">
                  <c:v>высокого давления</c:v>
                </c:pt>
                <c:pt idx="1">
                  <c:v>по закачке сточных вод</c:v>
                </c:pt>
                <c:pt idx="2">
                  <c:v>их них на МПТ</c:v>
                </c:pt>
                <c:pt idx="3">
                  <c:v>на простых вставках</c:v>
                </c:pt>
                <c:pt idx="4">
                  <c:v>по закачке пресных вод</c:v>
                </c:pt>
                <c:pt idx="5">
                  <c:v>из них на МПТ</c:v>
                </c:pt>
                <c:pt idx="6">
                  <c:v>низкого давления</c:v>
                </c:pt>
                <c:pt idx="7">
                  <c:v>водоводы пресных вод</c:v>
                </c:pt>
                <c:pt idx="8">
                  <c:v>водоводы сточных вод</c:v>
                </c:pt>
                <c:pt idx="9">
                  <c:v>из них на МПТ</c:v>
                </c:pt>
                <c:pt idx="10">
                  <c:v>на простых вставках</c:v>
                </c:pt>
                <c:pt idx="11">
                  <c:v>Всего порывов</c:v>
                </c:pt>
                <c:pt idx="12">
                  <c:v>из них сточных вод</c:v>
                </c:pt>
                <c:pt idx="13">
                  <c:v>из них на МПТ</c:v>
                </c:pt>
                <c:pt idx="14">
                  <c:v>на простых вставках</c:v>
                </c:pt>
              </c:strCache>
            </c:strRef>
          </c:cat>
          <c:val>
            <c:numRef>
              <c:f>диаг.3.19!$E$2:$E$16</c:f>
              <c:numCache>
                <c:formatCode>General</c:formatCode>
                <c:ptCount val="15"/>
                <c:pt idx="0">
                  <c:v>123</c:v>
                </c:pt>
                <c:pt idx="1">
                  <c:v>105</c:v>
                </c:pt>
                <c:pt idx="2">
                  <c:v>100</c:v>
                </c:pt>
                <c:pt idx="3">
                  <c:v>5</c:v>
                </c:pt>
                <c:pt idx="4">
                  <c:v>18</c:v>
                </c:pt>
                <c:pt idx="5">
                  <c:v>2</c:v>
                </c:pt>
                <c:pt idx="6">
                  <c:v>38</c:v>
                </c:pt>
                <c:pt idx="7">
                  <c:v>1</c:v>
                </c:pt>
                <c:pt idx="8">
                  <c:v>37</c:v>
                </c:pt>
                <c:pt idx="9">
                  <c:v>37</c:v>
                </c:pt>
                <c:pt idx="10">
                  <c:v>0</c:v>
                </c:pt>
                <c:pt idx="11">
                  <c:v>161</c:v>
                </c:pt>
                <c:pt idx="12">
                  <c:v>142</c:v>
                </c:pt>
                <c:pt idx="13">
                  <c:v>139</c:v>
                </c:pt>
                <c:pt idx="14">
                  <c:v>12</c:v>
                </c:pt>
              </c:numCache>
            </c:numRef>
          </c:val>
          <c:extLst>
            <c:ext xmlns:c16="http://schemas.microsoft.com/office/drawing/2014/chart" uri="{C3380CC4-5D6E-409C-BE32-E72D297353CC}">
              <c16:uniqueId val="{00000012-6F59-4BF2-B96C-D4F823353325}"/>
            </c:ext>
          </c:extLst>
        </c:ser>
        <c:dLbls>
          <c:showLegendKey val="0"/>
          <c:showVal val="0"/>
          <c:showCatName val="0"/>
          <c:showSerName val="0"/>
          <c:showPercent val="0"/>
          <c:showBubbleSize val="0"/>
        </c:dLbls>
        <c:gapWidth val="150"/>
        <c:axId val="136441216"/>
        <c:axId val="137897088"/>
      </c:barChart>
      <c:catAx>
        <c:axId val="136441216"/>
        <c:scaling>
          <c:orientation val="minMax"/>
        </c:scaling>
        <c:delete val="0"/>
        <c:axPos val="b"/>
        <c:numFmt formatCode="General" sourceLinked="1"/>
        <c:majorTickMark val="none"/>
        <c:minorTickMark val="none"/>
        <c:tickLblPos val="nextTo"/>
        <c:txPr>
          <a:bodyPr rot="-2700000" vert="horz"/>
          <a:lstStyle/>
          <a:p>
            <a:pPr>
              <a:defRPr sz="800" b="0" i="0" u="none" strike="noStrike" baseline="0">
                <a:solidFill>
                  <a:srgbClr val="000000"/>
                </a:solidFill>
                <a:latin typeface="Times New Roman"/>
                <a:ea typeface="Times New Roman"/>
                <a:cs typeface="Times New Roman"/>
              </a:defRPr>
            </a:pPr>
            <a:endParaRPr lang="ru-RU"/>
          </a:p>
        </c:txPr>
        <c:crossAx val="137897088"/>
        <c:crosses val="autoZero"/>
        <c:auto val="1"/>
        <c:lblAlgn val="ctr"/>
        <c:lblOffset val="100"/>
        <c:noMultiLvlLbl val="0"/>
      </c:catAx>
      <c:valAx>
        <c:axId val="137897088"/>
        <c:scaling>
          <c:orientation val="minMax"/>
        </c:scaling>
        <c:delete val="0"/>
        <c:axPos val="l"/>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36441216"/>
        <c:crosses val="autoZero"/>
        <c:crossBetween val="between"/>
      </c:valAx>
    </c:plotArea>
    <c:legend>
      <c:legendPos val="r"/>
      <c:layout>
        <c:manualLayout>
          <c:xMode val="edge"/>
          <c:yMode val="edge"/>
          <c:x val="0.92016957018559964"/>
          <c:y val="6.7753895627911495E-2"/>
          <c:w val="5.2147902017448504E-2"/>
          <c:h val="0.12482514010073079"/>
        </c:manualLayout>
      </c:layout>
      <c:overlay val="0"/>
      <c:txPr>
        <a:bodyPr/>
        <a:lstStyle/>
        <a:p>
          <a:pPr>
            <a:defRPr sz="65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anose="02020603050405020304" pitchFamily="18" charset="0"/>
                <a:cs typeface="Times New Roman" panose="02020603050405020304" pitchFamily="18" charset="0"/>
              </a:rPr>
              <a:t>Динамика строительства, капитального и кусочного ремонта водоводов за 2010-2017гг</a:t>
            </a:r>
          </a:p>
        </c:rich>
      </c:tx>
      <c:layout>
        <c:manualLayout>
          <c:xMode val="edge"/>
          <c:yMode val="edge"/>
          <c:x val="0.15430858878489276"/>
          <c:y val="1.2524271844660231E-2"/>
        </c:manualLayout>
      </c:layout>
      <c:overlay val="0"/>
    </c:title>
    <c:autoTitleDeleted val="0"/>
    <c:plotArea>
      <c:layout/>
      <c:areaChart>
        <c:grouping val="standard"/>
        <c:varyColors val="0"/>
        <c:ser>
          <c:idx val="0"/>
          <c:order val="0"/>
          <c:tx>
            <c:strRef>
              <c:f>Лист1!$A$3</c:f>
              <c:strCache>
                <c:ptCount val="1"/>
                <c:pt idx="0">
                  <c:v>кол-во порывов, шт</c:v>
                </c:pt>
              </c:strCache>
            </c:strRef>
          </c:tx>
          <c:spPr>
            <a:solidFill>
              <a:srgbClr val="CCFFFF"/>
            </a:solidFill>
          </c:spPr>
          <c:dLbls>
            <c:dLbl>
              <c:idx val="0"/>
              <c:layout>
                <c:manualLayout>
                  <c:x val="2.7279936830836215E-3"/>
                  <c:y val="-0.2776213613456270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AB7-4A71-BB30-F93080F27FFF}"/>
                </c:ext>
              </c:extLst>
            </c:dLbl>
            <c:dLbl>
              <c:idx val="1"/>
              <c:layout>
                <c:manualLayout>
                  <c:x val="1.3639968415418047E-3"/>
                  <c:y val="-0.2379611668676799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AB7-4A71-BB30-F93080F27FFF}"/>
                </c:ext>
              </c:extLst>
            </c:dLbl>
            <c:dLbl>
              <c:idx val="2"/>
              <c:layout>
                <c:manualLayout>
                  <c:x val="0"/>
                  <c:y val="-0.2108252443301374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AB7-4A71-BB30-F93080F27FFF}"/>
                </c:ext>
              </c:extLst>
            </c:dLbl>
            <c:dLbl>
              <c:idx val="3"/>
              <c:layout>
                <c:manualLayout>
                  <c:x val="-1.3639968415418047E-3"/>
                  <c:y val="-0.21708738030033975"/>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AB7-4A71-BB30-F93080F27FFF}"/>
                </c:ext>
              </c:extLst>
            </c:dLbl>
            <c:dLbl>
              <c:idx val="4"/>
              <c:layout>
                <c:manualLayout>
                  <c:x val="0"/>
                  <c:y val="-0.2275242735840094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AB7-4A71-BB30-F93080F27FFF}"/>
                </c:ext>
              </c:extLst>
            </c:dLbl>
            <c:dLbl>
              <c:idx val="5"/>
              <c:layout>
                <c:manualLayout>
                  <c:x val="-1.6367962098501523E-2"/>
                  <c:y val="-0.2755339826888921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AB7-4A71-BB30-F93080F27FFF}"/>
                </c:ext>
              </c:extLst>
            </c:dLbl>
            <c:dLbl>
              <c:idx val="6"/>
              <c:layout>
                <c:manualLayout>
                  <c:x val="-1.3639968415418047E-3"/>
                  <c:y val="-0.365291264928455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AB7-4A71-BB30-F93080F27FFF}"/>
                </c:ext>
              </c:extLst>
            </c:dLbl>
            <c:dLbl>
              <c:idx val="7"/>
              <c:layout>
                <c:manualLayout>
                  <c:x val="6.8199842077090065E-3"/>
                  <c:y val="-0.2463106814946157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AB7-4A71-BB30-F93080F27FFF}"/>
                </c:ext>
              </c:extLst>
            </c:dLbl>
            <c:spPr>
              <a:noFill/>
              <a:ln>
                <a:noFill/>
              </a:ln>
              <a:effectLst/>
            </c:spPr>
            <c:txPr>
              <a:bodyPr/>
              <a:lstStyle/>
              <a:p>
                <a:pPr>
                  <a:defRPr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Лист1!$B$3:$I$3</c:f>
              <c:numCache>
                <c:formatCode>General</c:formatCode>
                <c:ptCount val="8"/>
                <c:pt idx="0">
                  <c:v>189</c:v>
                </c:pt>
                <c:pt idx="1">
                  <c:v>159</c:v>
                </c:pt>
                <c:pt idx="2">
                  <c:v>146</c:v>
                </c:pt>
                <c:pt idx="3">
                  <c:v>141</c:v>
                </c:pt>
                <c:pt idx="4">
                  <c:v>146</c:v>
                </c:pt>
                <c:pt idx="5">
                  <c:v>206</c:v>
                </c:pt>
                <c:pt idx="6">
                  <c:v>253</c:v>
                </c:pt>
                <c:pt idx="7">
                  <c:v>161</c:v>
                </c:pt>
              </c:numCache>
            </c:numRef>
          </c:val>
          <c:extLst>
            <c:ext xmlns:c16="http://schemas.microsoft.com/office/drawing/2014/chart" uri="{C3380CC4-5D6E-409C-BE32-E72D297353CC}">
              <c16:uniqueId val="{00000008-3AB7-4A71-BB30-F93080F27FFF}"/>
            </c:ext>
          </c:extLst>
        </c:ser>
        <c:dLbls>
          <c:showLegendKey val="0"/>
          <c:showVal val="0"/>
          <c:showCatName val="0"/>
          <c:showSerName val="0"/>
          <c:showPercent val="0"/>
          <c:showBubbleSize val="0"/>
        </c:dLbls>
        <c:axId val="138056832"/>
        <c:axId val="138058368"/>
      </c:areaChart>
      <c:lineChart>
        <c:grouping val="standard"/>
        <c:varyColors val="0"/>
        <c:ser>
          <c:idx val="1"/>
          <c:order val="1"/>
          <c:tx>
            <c:strRef>
              <c:f>Лист1!$A$4</c:f>
              <c:strCache>
                <c:ptCount val="1"/>
                <c:pt idx="0">
                  <c:v>кап.строит, км</c:v>
                </c:pt>
              </c:strCache>
            </c:strRef>
          </c:tx>
          <c:dLbls>
            <c:dLbl>
              <c:idx val="2"/>
              <c:layout>
                <c:manualLayout>
                  <c:x val="-4.1942902877410405E-2"/>
                  <c:y val="-2.452669921662494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AB7-4A71-BB30-F93080F27FFF}"/>
                </c:ext>
              </c:extLst>
            </c:dLbl>
            <c:dLbl>
              <c:idx val="5"/>
              <c:layout>
                <c:manualLayout>
                  <c:x val="-2.0118953412741478E-2"/>
                  <c:y val="-2.870145653009292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AB7-4A71-BB30-F93080F27FFF}"/>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Лист1!$B$4:$I$4</c:f>
              <c:numCache>
                <c:formatCode>General</c:formatCode>
                <c:ptCount val="8"/>
                <c:pt idx="0">
                  <c:v>20.420000000000002</c:v>
                </c:pt>
                <c:pt idx="1">
                  <c:v>24.130000000000031</c:v>
                </c:pt>
                <c:pt idx="2">
                  <c:v>22.150000000000031</c:v>
                </c:pt>
                <c:pt idx="3">
                  <c:v>62.49</c:v>
                </c:pt>
                <c:pt idx="4">
                  <c:v>71.430000000000007</c:v>
                </c:pt>
                <c:pt idx="5">
                  <c:v>39.71</c:v>
                </c:pt>
                <c:pt idx="6">
                  <c:v>41.230000000000011</c:v>
                </c:pt>
                <c:pt idx="7">
                  <c:v>31.285999999999962</c:v>
                </c:pt>
              </c:numCache>
            </c:numRef>
          </c:val>
          <c:smooth val="0"/>
          <c:extLst>
            <c:ext xmlns:c16="http://schemas.microsoft.com/office/drawing/2014/chart" uri="{C3380CC4-5D6E-409C-BE32-E72D297353CC}">
              <c16:uniqueId val="{0000000B-3AB7-4A71-BB30-F93080F27FFF}"/>
            </c:ext>
          </c:extLst>
        </c:ser>
        <c:ser>
          <c:idx val="2"/>
          <c:order val="2"/>
          <c:tx>
            <c:strRef>
              <c:f>Лист1!$A$5</c:f>
              <c:strCache>
                <c:ptCount val="1"/>
                <c:pt idx="0">
                  <c:v>кап.ремонт, км</c:v>
                </c:pt>
              </c:strCache>
            </c:strRef>
          </c:tx>
          <c:dLbls>
            <c:dLbl>
              <c:idx val="0"/>
              <c:layout>
                <c:manualLayout>
                  <c:x val="-5.5582871292828434E-2"/>
                  <c:y val="-2.6092233209175455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AB7-4A71-BB30-F93080F27FFF}"/>
                </c:ext>
              </c:extLst>
            </c:dLbl>
            <c:dLbl>
              <c:idx val="1"/>
              <c:layout>
                <c:manualLayout>
                  <c:x val="-2.9666931303534188E-2"/>
                  <c:y val="-1.722087391805579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3AB7-4A71-BB30-F93080F27FFF}"/>
                </c:ext>
              </c:extLst>
            </c:dLbl>
            <c:dLbl>
              <c:idx val="3"/>
              <c:layout>
                <c:manualLayout>
                  <c:x val="-2.6938937620450656E-2"/>
                  <c:y val="-2.55703885449918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3AB7-4A71-BB30-F93080F27FFF}"/>
                </c:ext>
              </c:extLst>
            </c:dLbl>
            <c:dLbl>
              <c:idx val="4"/>
              <c:layout>
                <c:manualLayout>
                  <c:x val="-2.6938937620450656E-2"/>
                  <c:y val="-2.557038854499188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3AB7-4A71-BB30-F93080F27FFF}"/>
                </c:ext>
              </c:extLst>
            </c:dLbl>
            <c:dLbl>
              <c:idx val="5"/>
              <c:layout>
                <c:manualLayout>
                  <c:x val="-2.5574940778908692E-2"/>
                  <c:y val="-1.72208739180557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3AB7-4A71-BB30-F93080F27FFF}"/>
                </c:ext>
              </c:extLst>
            </c:dLbl>
            <c:dLbl>
              <c:idx val="6"/>
              <c:layout>
                <c:manualLayout>
                  <c:x val="-2.6938937620450656E-2"/>
                  <c:y val="-2.34830098882578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3AB7-4A71-BB30-F93080F27FFF}"/>
                </c:ext>
              </c:extLst>
            </c:dLbl>
            <c:dLbl>
              <c:idx val="7"/>
              <c:layout>
                <c:manualLayout>
                  <c:x val="-2.4892942358137885E-2"/>
                  <c:y val="-2.34830098882578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3AB7-4A71-BB30-F93080F27FFF}"/>
                </c:ext>
              </c:extLst>
            </c:dLbl>
            <c:spPr>
              <a:noFill/>
              <a:ln>
                <a:noFill/>
              </a:ln>
              <a:effectLst/>
            </c:spPr>
            <c:txPr>
              <a:bodyPr/>
              <a:lstStyle/>
              <a:p>
                <a:pPr>
                  <a:defRPr>
                    <a:latin typeface="Times New Roman" panose="02020603050405020304" pitchFamily="18" charset="0"/>
                    <a:cs typeface="Times New Roman" panose="02020603050405020304" pitchFamily="18" charset="0"/>
                  </a:defRPr>
                </a:pPr>
                <a:endParaRPr lang="ru-RU"/>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Лист1!$B$5:$I$5</c:f>
              <c:numCache>
                <c:formatCode>General</c:formatCode>
                <c:ptCount val="8"/>
                <c:pt idx="0">
                  <c:v>13.17</c:v>
                </c:pt>
                <c:pt idx="1">
                  <c:v>18.77</c:v>
                </c:pt>
                <c:pt idx="2">
                  <c:v>20.77</c:v>
                </c:pt>
                <c:pt idx="3">
                  <c:v>16.630000000000031</c:v>
                </c:pt>
                <c:pt idx="4">
                  <c:v>15.38</c:v>
                </c:pt>
                <c:pt idx="5">
                  <c:v>20.779999999999987</c:v>
                </c:pt>
                <c:pt idx="6">
                  <c:v>14.25</c:v>
                </c:pt>
                <c:pt idx="7">
                  <c:v>15.7</c:v>
                </c:pt>
              </c:numCache>
            </c:numRef>
          </c:val>
          <c:smooth val="0"/>
          <c:extLst>
            <c:ext xmlns:c16="http://schemas.microsoft.com/office/drawing/2014/chart" uri="{C3380CC4-5D6E-409C-BE32-E72D297353CC}">
              <c16:uniqueId val="{00000013-3AB7-4A71-BB30-F93080F27FFF}"/>
            </c:ext>
          </c:extLst>
        </c:ser>
        <c:ser>
          <c:idx val="3"/>
          <c:order val="3"/>
          <c:tx>
            <c:strRef>
              <c:f>Лист1!$A$6</c:f>
              <c:strCache>
                <c:ptCount val="1"/>
                <c:pt idx="0">
                  <c:v>кус.ремонт, км</c:v>
                </c:pt>
              </c:strCache>
            </c:strRef>
          </c:tx>
          <c:marker>
            <c:symbol val="diamond"/>
            <c:size val="6"/>
          </c:marker>
          <c:dLbls>
            <c:spPr>
              <a:noFill/>
              <a:ln>
                <a:noFill/>
              </a:ln>
              <a:effectLst/>
            </c:spPr>
            <c:txPr>
              <a:bodyPr/>
              <a:lstStyle/>
              <a:p>
                <a:pPr>
                  <a:defRPr>
                    <a:latin typeface="Times New Roman" panose="02020603050405020304" pitchFamily="18" charset="0"/>
                    <a:cs typeface="Times New Roman" panose="02020603050405020304" pitchFamily="18" charset="0"/>
                  </a:defRPr>
                </a:pPr>
                <a:endParaRPr lang="ru-RU"/>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Лист1!$B$2:$I$2</c:f>
              <c:numCache>
                <c:formatCode>General</c:formatCode>
                <c:ptCount val="8"/>
                <c:pt idx="0">
                  <c:v>2010</c:v>
                </c:pt>
                <c:pt idx="1">
                  <c:v>2011</c:v>
                </c:pt>
                <c:pt idx="2">
                  <c:v>2012</c:v>
                </c:pt>
                <c:pt idx="3">
                  <c:v>2013</c:v>
                </c:pt>
                <c:pt idx="4">
                  <c:v>2014</c:v>
                </c:pt>
                <c:pt idx="5">
                  <c:v>2015</c:v>
                </c:pt>
                <c:pt idx="6">
                  <c:v>2016</c:v>
                </c:pt>
                <c:pt idx="7">
                  <c:v>2017</c:v>
                </c:pt>
              </c:numCache>
            </c:numRef>
          </c:cat>
          <c:val>
            <c:numRef>
              <c:f>Лист1!$B$6:$I$6</c:f>
              <c:numCache>
                <c:formatCode>General</c:formatCode>
                <c:ptCount val="8"/>
                <c:pt idx="0">
                  <c:v>1.06</c:v>
                </c:pt>
                <c:pt idx="1">
                  <c:v>1.091</c:v>
                </c:pt>
                <c:pt idx="2">
                  <c:v>1.929</c:v>
                </c:pt>
                <c:pt idx="3">
                  <c:v>2.3519999999999968</c:v>
                </c:pt>
                <c:pt idx="4">
                  <c:v>1.7029999999999976</c:v>
                </c:pt>
                <c:pt idx="5">
                  <c:v>2.5470000000000002</c:v>
                </c:pt>
                <c:pt idx="6">
                  <c:v>2.6</c:v>
                </c:pt>
                <c:pt idx="7">
                  <c:v>3.7</c:v>
                </c:pt>
              </c:numCache>
            </c:numRef>
          </c:val>
          <c:smooth val="0"/>
          <c:extLst>
            <c:ext xmlns:c16="http://schemas.microsoft.com/office/drawing/2014/chart" uri="{C3380CC4-5D6E-409C-BE32-E72D297353CC}">
              <c16:uniqueId val="{00000014-3AB7-4A71-BB30-F93080F27FFF}"/>
            </c:ext>
          </c:extLst>
        </c:ser>
        <c:dLbls>
          <c:showLegendKey val="0"/>
          <c:showVal val="0"/>
          <c:showCatName val="0"/>
          <c:showSerName val="0"/>
          <c:showPercent val="0"/>
          <c:showBubbleSize val="0"/>
        </c:dLbls>
        <c:marker val="1"/>
        <c:smooth val="0"/>
        <c:axId val="138037120"/>
        <c:axId val="138038656"/>
      </c:lineChart>
      <c:catAx>
        <c:axId val="138037120"/>
        <c:scaling>
          <c:orientation val="minMax"/>
        </c:scaling>
        <c:delete val="0"/>
        <c:axPos val="b"/>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38038656"/>
        <c:crosses val="autoZero"/>
        <c:auto val="1"/>
        <c:lblAlgn val="ctr"/>
        <c:lblOffset val="100"/>
        <c:noMultiLvlLbl val="0"/>
      </c:catAx>
      <c:valAx>
        <c:axId val="138038656"/>
        <c:scaling>
          <c:orientation val="minMax"/>
        </c:scaling>
        <c:delete val="0"/>
        <c:axPos val="l"/>
        <c:numFmt formatCode="General" sourceLinked="1"/>
        <c:majorTickMark val="none"/>
        <c:minorTickMark val="none"/>
        <c:tickLblPos val="nextTo"/>
        <c:spPr>
          <a:ln w="9523">
            <a:noFill/>
          </a:ln>
        </c:spPr>
        <c:txPr>
          <a:bodyPr/>
          <a:lstStyle/>
          <a:p>
            <a:pPr>
              <a:defRPr>
                <a:latin typeface="Times New Roman" panose="02020603050405020304" pitchFamily="18" charset="0"/>
                <a:cs typeface="Times New Roman" panose="02020603050405020304" pitchFamily="18" charset="0"/>
              </a:defRPr>
            </a:pPr>
            <a:endParaRPr lang="ru-RU"/>
          </a:p>
        </c:txPr>
        <c:crossAx val="138037120"/>
        <c:crosses val="autoZero"/>
        <c:crossBetween val="between"/>
      </c:valAx>
      <c:catAx>
        <c:axId val="138056832"/>
        <c:scaling>
          <c:orientation val="minMax"/>
        </c:scaling>
        <c:delete val="1"/>
        <c:axPos val="b"/>
        <c:numFmt formatCode="General" sourceLinked="1"/>
        <c:majorTickMark val="out"/>
        <c:minorTickMark val="none"/>
        <c:tickLblPos val="nextTo"/>
        <c:crossAx val="138058368"/>
        <c:crosses val="autoZero"/>
        <c:auto val="1"/>
        <c:lblAlgn val="ctr"/>
        <c:lblOffset val="100"/>
        <c:noMultiLvlLbl val="0"/>
      </c:catAx>
      <c:valAx>
        <c:axId val="138058368"/>
        <c:scaling>
          <c:orientation val="minMax"/>
        </c:scaling>
        <c:delete val="0"/>
        <c:axPos val="r"/>
        <c:numFmt formatCode="General" sourceLinked="1"/>
        <c:majorTickMark val="out"/>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138056832"/>
        <c:crosses val="max"/>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Защищённость нефтепромысловых трубопроводов на 01.01.18г</a:t>
            </a:r>
          </a:p>
        </c:rich>
      </c:tx>
      <c:overlay val="0"/>
    </c:title>
    <c:autoTitleDeleted val="0"/>
    <c:plotArea>
      <c:layout/>
      <c:barChart>
        <c:barDir val="col"/>
        <c:grouping val="clustered"/>
        <c:varyColors val="0"/>
        <c:ser>
          <c:idx val="0"/>
          <c:order val="0"/>
          <c:tx>
            <c:strRef>
              <c:f>диаг.3.21!$A$2</c:f>
              <c:strCache>
                <c:ptCount val="1"/>
                <c:pt idx="0">
                  <c:v>Всего в эксплуатации, км</c:v>
                </c:pt>
              </c:strCache>
            </c:strRef>
          </c:tx>
          <c:invertIfNegative val="0"/>
          <c:dLbls>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диаг.3.21!$B$1:$D$1</c:f>
              <c:strCache>
                <c:ptCount val="3"/>
                <c:pt idx="0">
                  <c:v>выкидные</c:v>
                </c:pt>
                <c:pt idx="1">
                  <c:v>сборные+напорные</c:v>
                </c:pt>
                <c:pt idx="2">
                  <c:v>итого</c:v>
                </c:pt>
              </c:strCache>
            </c:strRef>
          </c:cat>
          <c:val>
            <c:numRef>
              <c:f>диаг.3.21!$B$2:$D$2</c:f>
              <c:numCache>
                <c:formatCode>0.0</c:formatCode>
                <c:ptCount val="3"/>
                <c:pt idx="0">
                  <c:v>2360.1570000000002</c:v>
                </c:pt>
                <c:pt idx="1">
                  <c:v>934.61099999999999</c:v>
                </c:pt>
                <c:pt idx="2">
                  <c:v>3294.7679999999987</c:v>
                </c:pt>
              </c:numCache>
            </c:numRef>
          </c:val>
          <c:extLst>
            <c:ext xmlns:c16="http://schemas.microsoft.com/office/drawing/2014/chart" uri="{C3380CC4-5D6E-409C-BE32-E72D297353CC}">
              <c16:uniqueId val="{00000000-476F-4597-A1ED-3CD911719485}"/>
            </c:ext>
          </c:extLst>
        </c:ser>
        <c:ser>
          <c:idx val="1"/>
          <c:order val="1"/>
          <c:tx>
            <c:strRef>
              <c:f>диаг.3.21!$A$3</c:f>
              <c:strCache>
                <c:ptCount val="1"/>
                <c:pt idx="0">
                  <c:v>Защита ИК, км</c:v>
                </c:pt>
              </c:strCache>
            </c:strRef>
          </c:tx>
          <c:invertIfNegative val="0"/>
          <c:dLbls>
            <c:dLbl>
              <c:idx val="0"/>
              <c:layout>
                <c:manualLayout>
                  <c:x val="0"/>
                  <c:y val="-1.677148846960181E-2"/>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21,4</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0,9 %</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76F-4597-A1ED-3CD911719485}"/>
                </c:ext>
              </c:extLst>
            </c:dLbl>
            <c:dLbl>
              <c:idx val="1"/>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342,5</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36,6%</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76F-4597-A1ED-3CD911719485}"/>
                </c:ext>
              </c:extLst>
            </c:dLbl>
            <c:dLbl>
              <c:idx val="2"/>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363,9</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11,0%</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76F-4597-A1ED-3CD911719485}"/>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диаг.3.21!$B$1:$D$1</c:f>
              <c:strCache>
                <c:ptCount val="3"/>
                <c:pt idx="0">
                  <c:v>выкидные</c:v>
                </c:pt>
                <c:pt idx="1">
                  <c:v>сборные+напорные</c:v>
                </c:pt>
                <c:pt idx="2">
                  <c:v>итого</c:v>
                </c:pt>
              </c:strCache>
            </c:strRef>
          </c:cat>
          <c:val>
            <c:numRef>
              <c:f>диаг.3.21!$B$3:$D$3</c:f>
              <c:numCache>
                <c:formatCode>0.0</c:formatCode>
                <c:ptCount val="3"/>
                <c:pt idx="0">
                  <c:v>21.4</c:v>
                </c:pt>
                <c:pt idx="1">
                  <c:v>342.459</c:v>
                </c:pt>
                <c:pt idx="2">
                  <c:v>363.85899999999964</c:v>
                </c:pt>
              </c:numCache>
            </c:numRef>
          </c:val>
          <c:extLst>
            <c:ext xmlns:c16="http://schemas.microsoft.com/office/drawing/2014/chart" uri="{C3380CC4-5D6E-409C-BE32-E72D297353CC}">
              <c16:uniqueId val="{00000004-476F-4597-A1ED-3CD911719485}"/>
            </c:ext>
          </c:extLst>
        </c:ser>
        <c:ser>
          <c:idx val="2"/>
          <c:order val="2"/>
          <c:tx>
            <c:strRef>
              <c:f>диаг.3.21!$A$4</c:f>
              <c:strCache>
                <c:ptCount val="1"/>
                <c:pt idx="0">
                  <c:v>Защита МПТ и ППТ, км</c:v>
                </c:pt>
              </c:strCache>
            </c:strRef>
          </c:tx>
          <c:invertIfNegative val="0"/>
          <c:dLbls>
            <c:dLbl>
              <c:idx val="0"/>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1572,6</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66,6%</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76F-4597-A1ED-3CD911719485}"/>
                </c:ext>
              </c:extLst>
            </c:dLbl>
            <c:dLbl>
              <c:idx val="1"/>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623,1</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66,7%</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76F-4597-A1ED-3CD911719485}"/>
                </c:ext>
              </c:extLst>
            </c:dLbl>
            <c:dLbl>
              <c:idx val="2"/>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2195,7</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66,6%</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6F-4597-A1ED-3CD911719485}"/>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диаг.3.21!$B$1:$D$1</c:f>
              <c:strCache>
                <c:ptCount val="3"/>
                <c:pt idx="0">
                  <c:v>выкидные</c:v>
                </c:pt>
                <c:pt idx="1">
                  <c:v>сборные+напорные</c:v>
                </c:pt>
                <c:pt idx="2">
                  <c:v>итого</c:v>
                </c:pt>
              </c:strCache>
            </c:strRef>
          </c:cat>
          <c:val>
            <c:numRef>
              <c:f>диаг.3.21!$B$4:$D$4</c:f>
              <c:numCache>
                <c:formatCode>0.0</c:formatCode>
                <c:ptCount val="3"/>
                <c:pt idx="0">
                  <c:v>1572.6</c:v>
                </c:pt>
                <c:pt idx="1">
                  <c:v>623.1</c:v>
                </c:pt>
                <c:pt idx="2">
                  <c:v>2195.6999999999998</c:v>
                </c:pt>
              </c:numCache>
            </c:numRef>
          </c:val>
          <c:extLst>
            <c:ext xmlns:c16="http://schemas.microsoft.com/office/drawing/2014/chart" uri="{C3380CC4-5D6E-409C-BE32-E72D297353CC}">
              <c16:uniqueId val="{00000008-476F-4597-A1ED-3CD911719485}"/>
            </c:ext>
          </c:extLst>
        </c:ser>
        <c:dLbls>
          <c:showLegendKey val="0"/>
          <c:showVal val="0"/>
          <c:showCatName val="0"/>
          <c:showSerName val="0"/>
          <c:showPercent val="0"/>
          <c:showBubbleSize val="0"/>
        </c:dLbls>
        <c:gapWidth val="75"/>
        <c:axId val="137825664"/>
        <c:axId val="137831552"/>
      </c:barChart>
      <c:catAx>
        <c:axId val="13782566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37831552"/>
        <c:crosses val="autoZero"/>
        <c:auto val="1"/>
        <c:lblAlgn val="ctr"/>
        <c:lblOffset val="100"/>
        <c:noMultiLvlLbl val="0"/>
      </c:catAx>
      <c:valAx>
        <c:axId val="137831552"/>
        <c:scaling>
          <c:orientation val="minMax"/>
          <c:max val="3800"/>
          <c:min val="0"/>
        </c:scaling>
        <c:delete val="0"/>
        <c:axPos val="l"/>
        <c:numFmt formatCode="0.0"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7825664"/>
        <c:crosses val="autoZero"/>
        <c:crossBetween val="between"/>
      </c:valAx>
    </c:plotArea>
    <c:legend>
      <c:legendPos val="b"/>
      <c:overlay val="0"/>
      <c:txPr>
        <a:bodyPr/>
        <a:lstStyle/>
        <a:p>
          <a:pPr>
            <a:defRPr sz="775" b="1"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4825822946628434E-2"/>
          <c:y val="0.13120499374484243"/>
          <c:w val="0.91088526685842164"/>
          <c:h val="0.70043330323103836"/>
        </c:manualLayout>
      </c:layout>
      <c:barChart>
        <c:barDir val="col"/>
        <c:grouping val="clustered"/>
        <c:varyColors val="0"/>
        <c:ser>
          <c:idx val="0"/>
          <c:order val="0"/>
          <c:tx>
            <c:strRef>
              <c:f>'данные для диагр. по т п '!$A$2</c:f>
              <c:strCache>
                <c:ptCount val="1"/>
                <c:pt idx="0">
                  <c:v>план, тн</c:v>
                </c:pt>
              </c:strCache>
            </c:strRef>
          </c:tx>
          <c:spPr>
            <a:solidFill>
              <a:srgbClr val="339966"/>
            </a:solidFill>
            <a:ln w="12700">
              <a:solidFill>
                <a:srgbClr val="000000"/>
              </a:solidFill>
              <a:prstDash val="solid"/>
            </a:ln>
          </c:spPr>
          <c:invertIfNegative val="0"/>
          <c:dLbls>
            <c:dLbl>
              <c:idx val="0"/>
              <c:layout>
                <c:manualLayout>
                  <c:x val="7.4215555270356302E-3"/>
                  <c:y val="-2.96602033656683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FD7-4B2C-87CD-09EC52ABFD95}"/>
                </c:ext>
              </c:extLst>
            </c:dLbl>
            <c:dLbl>
              <c:idx val="1"/>
              <c:layout>
                <c:manualLayout>
                  <c:x val="1.0101086357493904E-3"/>
                  <c:y val="-3.35904546585142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FD7-4B2C-87CD-09EC52ABFD95}"/>
                </c:ext>
              </c:extLst>
            </c:dLbl>
            <c:dLbl>
              <c:idx val="2"/>
              <c:layout>
                <c:manualLayout>
                  <c:x val="1.5440562173782165E-2"/>
                  <c:y val="-2.599154766671122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FD7-4B2C-87CD-09EC52ABFD95}"/>
                </c:ext>
              </c:extLst>
            </c:dLbl>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'данные для диагр. по т п '!$B$1:$E$1</c:f>
              <c:strCache>
                <c:ptCount val="4"/>
                <c:pt idx="0">
                  <c:v>Система нефтесбора </c:v>
                </c:pt>
                <c:pt idx="1">
                  <c:v>Система ППД </c:v>
                </c:pt>
                <c:pt idx="2">
                  <c:v>Система газосбора</c:v>
                </c:pt>
                <c:pt idx="3">
                  <c:v>Всего за 2016  год</c:v>
                </c:pt>
              </c:strCache>
            </c:strRef>
          </c:cat>
          <c:val>
            <c:numRef>
              <c:f>'данные для диагр. по т п '!$B$2:$E$2</c:f>
              <c:numCache>
                <c:formatCode>0.000</c:formatCode>
                <c:ptCount val="4"/>
                <c:pt idx="0">
                  <c:v>565.79500000000053</c:v>
                </c:pt>
                <c:pt idx="1">
                  <c:v>753.31399999999996</c:v>
                </c:pt>
                <c:pt idx="2">
                  <c:v>1.343</c:v>
                </c:pt>
                <c:pt idx="3">
                  <c:v>1320.5</c:v>
                </c:pt>
              </c:numCache>
            </c:numRef>
          </c:val>
          <c:extLst>
            <c:ext xmlns:c16="http://schemas.microsoft.com/office/drawing/2014/chart" uri="{C3380CC4-5D6E-409C-BE32-E72D297353CC}">
              <c16:uniqueId val="{00000003-BFD7-4B2C-87CD-09EC52ABFD95}"/>
            </c:ext>
          </c:extLst>
        </c:ser>
        <c:ser>
          <c:idx val="1"/>
          <c:order val="1"/>
          <c:tx>
            <c:strRef>
              <c:f>'данные для диагр. по т п '!$A$3</c:f>
              <c:strCache>
                <c:ptCount val="1"/>
                <c:pt idx="0">
                  <c:v>факт, тн</c:v>
                </c:pt>
              </c:strCache>
            </c:strRef>
          </c:tx>
          <c:spPr>
            <a:solidFill>
              <a:srgbClr val="FFFF00"/>
            </a:solidFill>
            <a:ln w="12700">
              <a:solidFill>
                <a:srgbClr val="000000"/>
              </a:solidFill>
              <a:prstDash val="solid"/>
            </a:ln>
          </c:spPr>
          <c:invertIfNegative val="0"/>
          <c:dLbls>
            <c:dLbl>
              <c:idx val="0"/>
              <c:layout>
                <c:manualLayout>
                  <c:x val="2.5643180331517506E-2"/>
                  <c:y val="-3.260465323190533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FD7-4B2C-87CD-09EC52ABFD95}"/>
                </c:ext>
              </c:extLst>
            </c:dLbl>
            <c:dLbl>
              <c:idx val="1"/>
              <c:layout>
                <c:manualLayout>
                  <c:x val="2.1932268807660721E-2"/>
                  <c:y val="-3.391165087414920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FD7-4B2C-87CD-09EC52ABFD95}"/>
                </c:ext>
              </c:extLst>
            </c:dLbl>
            <c:dLbl>
              <c:idx val="2"/>
              <c:layout>
                <c:manualLayout>
                  <c:x val="2.7873201475462007E-2"/>
                  <c:y val="-2.847671159749099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FD7-4B2C-87CD-09EC52ABFD95}"/>
                </c:ext>
              </c:extLst>
            </c:dLbl>
            <c:spPr>
              <a:noFill/>
              <a:ln w="25400">
                <a:noFill/>
              </a:ln>
            </c:spPr>
            <c:txPr>
              <a:bodyPr/>
              <a:lstStyle/>
              <a:p>
                <a:pPr>
                  <a:defRPr sz="12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'данные для диагр. по т п '!$B$1:$E$1</c:f>
              <c:strCache>
                <c:ptCount val="4"/>
                <c:pt idx="0">
                  <c:v>Система нефтесбора </c:v>
                </c:pt>
                <c:pt idx="1">
                  <c:v>Система ППД </c:v>
                </c:pt>
                <c:pt idx="2">
                  <c:v>Система газосбора</c:v>
                </c:pt>
                <c:pt idx="3">
                  <c:v>Всего за 2016  год</c:v>
                </c:pt>
              </c:strCache>
            </c:strRef>
          </c:cat>
          <c:val>
            <c:numRef>
              <c:f>'данные для диагр. по т п '!$B$3:$E$3</c:f>
              <c:numCache>
                <c:formatCode>0.000</c:formatCode>
                <c:ptCount val="4"/>
                <c:pt idx="0">
                  <c:v>469.09199999999919</c:v>
                </c:pt>
                <c:pt idx="1">
                  <c:v>748.97799999999938</c:v>
                </c:pt>
                <c:pt idx="2">
                  <c:v>1.343</c:v>
                </c:pt>
                <c:pt idx="3">
                  <c:v>1219.413</c:v>
                </c:pt>
              </c:numCache>
            </c:numRef>
          </c:val>
          <c:extLst>
            <c:ext xmlns:c16="http://schemas.microsoft.com/office/drawing/2014/chart" uri="{C3380CC4-5D6E-409C-BE32-E72D297353CC}">
              <c16:uniqueId val="{00000007-BFD7-4B2C-87CD-09EC52ABFD95}"/>
            </c:ext>
          </c:extLst>
        </c:ser>
        <c:dLbls>
          <c:showLegendKey val="0"/>
          <c:showVal val="0"/>
          <c:showCatName val="0"/>
          <c:showSerName val="0"/>
          <c:showPercent val="0"/>
          <c:showBubbleSize val="0"/>
        </c:dLbls>
        <c:gapWidth val="150"/>
        <c:axId val="138082560"/>
        <c:axId val="138235904"/>
      </c:barChart>
      <c:catAx>
        <c:axId val="13808256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Times New Roman"/>
                <a:ea typeface="Times New Roman"/>
                <a:cs typeface="Times New Roman"/>
              </a:defRPr>
            </a:pPr>
            <a:endParaRPr lang="ru-RU"/>
          </a:p>
        </c:txPr>
        <c:crossAx val="138235904"/>
        <c:crosses val="autoZero"/>
        <c:auto val="1"/>
        <c:lblAlgn val="ctr"/>
        <c:lblOffset val="100"/>
        <c:noMultiLvlLbl val="0"/>
      </c:catAx>
      <c:valAx>
        <c:axId val="138235904"/>
        <c:scaling>
          <c:orientation val="minMax"/>
        </c:scaling>
        <c:delete val="0"/>
        <c:axPos val="l"/>
        <c:numFmt formatCode="0" sourceLinked="0"/>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138082560"/>
        <c:crosses val="autoZero"/>
        <c:crossBetween val="between"/>
      </c:valAx>
      <c:spPr>
        <a:noFill/>
        <a:ln w="25400">
          <a:noFill/>
        </a:ln>
      </c:spPr>
    </c:plotArea>
    <c:legend>
      <c:legendPos val="b"/>
      <c:layout>
        <c:manualLayout>
          <c:xMode val="edge"/>
          <c:yMode val="edge"/>
          <c:x val="0.43009952869815327"/>
          <c:y val="0.91531520824047963"/>
          <c:w val="0.23073941706653783"/>
          <c:h val="5.3951102564054207E-2"/>
        </c:manualLayout>
      </c:layout>
      <c:overlay val="0"/>
      <c:spPr>
        <a:noFill/>
        <a:ln w="3175">
          <a:solidFill>
            <a:srgbClr val="000000"/>
          </a:solidFill>
          <a:prstDash val="solid"/>
        </a:ln>
      </c:spPr>
      <c:txPr>
        <a:bodyPr/>
        <a:lstStyle/>
        <a:p>
          <a:pPr>
            <a:defRPr sz="1100" b="1"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w="9525">
      <a:solidFill>
        <a:schemeClr val="tx1"/>
      </a:solidFill>
    </a:ln>
  </c:spPr>
  <c:txPr>
    <a:bodyPr/>
    <a:lstStyle/>
    <a:p>
      <a:pPr>
        <a:defRPr sz="1200" b="1" i="0" u="none" strike="noStrike" baseline="0">
          <a:solidFill>
            <a:srgbClr val="000000"/>
          </a:solidFill>
          <a:latin typeface="Times New Roman"/>
          <a:ea typeface="Times New Roman"/>
          <a:cs typeface="Times New Roman"/>
        </a:defRPr>
      </a:pPr>
      <a:endParaRPr lang="ru-RU"/>
    </a:p>
  </c:txPr>
  <c:externalData r:id="rId2">
    <c:autoUpdate val="0"/>
  </c:externalData>
  <c:userShapes r:id="rId3"/>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1" i="0" u="none" strike="noStrike" baseline="0">
                <a:solidFill>
                  <a:srgbClr val="000000"/>
                </a:solidFill>
                <a:latin typeface="Times New Roman"/>
                <a:ea typeface="Times New Roman"/>
                <a:cs typeface="Times New Roman"/>
              </a:defRPr>
            </a:pPr>
            <a:r>
              <a:rPr lang="ru-RU"/>
              <a:t>Динамика ингибиторной защиты по годам</a:t>
            </a:r>
          </a:p>
        </c:rich>
      </c:tx>
      <c:overlay val="0"/>
      <c:spPr>
        <a:noFill/>
        <a:ln w="25400">
          <a:noFill/>
        </a:ln>
      </c:spPr>
    </c:title>
    <c:autoTitleDeleted val="0"/>
    <c:plotArea>
      <c:layout>
        <c:manualLayout>
          <c:layoutTarget val="inner"/>
          <c:xMode val="edge"/>
          <c:yMode val="edge"/>
          <c:x val="3.8262668045501554E-2"/>
          <c:y val="7.5141242937853112E-2"/>
          <c:w val="0.93145266278549854"/>
          <c:h val="0.71800977126209864"/>
        </c:manualLayout>
      </c:layout>
      <c:barChart>
        <c:barDir val="col"/>
        <c:grouping val="clustered"/>
        <c:varyColors val="0"/>
        <c:ser>
          <c:idx val="2"/>
          <c:order val="0"/>
          <c:tx>
            <c:strRef>
              <c:f>'для диаг.3.20'!$A$4</c:f>
              <c:strCache>
                <c:ptCount val="1"/>
                <c:pt idx="0">
                  <c:v>Количество точек подачи ИК на нефтесборе, шт</c:v>
                </c:pt>
              </c:strCache>
            </c:strRef>
          </c:tx>
          <c:spPr>
            <a:solidFill>
              <a:srgbClr val="FF9900"/>
            </a:solidFill>
            <a:ln w="12700">
              <a:solidFill>
                <a:srgbClr val="000000"/>
              </a:solidFill>
              <a:prstDash val="solid"/>
            </a:ln>
          </c:spPr>
          <c:invertIfNegative val="0"/>
          <c:dLbls>
            <c:dLbl>
              <c:idx val="2"/>
              <c:layout>
                <c:manualLayout>
                  <c:x val="-2.7586206896551752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634-4365-9BFF-F6163DCF0EF9}"/>
                </c:ext>
              </c:extLst>
            </c:dLbl>
            <c:dLbl>
              <c:idx val="3"/>
              <c:layout>
                <c:manualLayout>
                  <c:x val="-2.7586206896551752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634-4365-9BFF-F6163DCF0EF9}"/>
                </c:ext>
              </c:extLst>
            </c:dLbl>
            <c:dLbl>
              <c:idx val="4"/>
              <c:layout>
                <c:manualLayout>
                  <c:x val="-5.5172413793103513E-3"/>
                  <c:y val="6.792452426536776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634-4365-9BFF-F6163DCF0EF9}"/>
                </c:ext>
              </c:extLst>
            </c:dLbl>
            <c:dLbl>
              <c:idx val="5"/>
              <c:layout>
                <c:manualLayout>
                  <c:x val="-6.8965517241379387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634-4365-9BFF-F6163DCF0EF9}"/>
                </c:ext>
              </c:extLst>
            </c:dLbl>
            <c:dLbl>
              <c:idx val="6"/>
              <c:layout>
                <c:manualLayout>
                  <c:x val="-2.7586206896551752E-3"/>
                  <c:y val="4.528301617691099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634-4365-9BFF-F6163DCF0EF9}"/>
                </c:ext>
              </c:extLst>
            </c:dLbl>
            <c:dLbl>
              <c:idx val="7"/>
              <c:layout>
                <c:manualLayout>
                  <c:x val="-4.137931034482758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634-4365-9BFF-F6163DCF0EF9}"/>
                </c:ext>
              </c:extLst>
            </c:dLbl>
            <c:dLbl>
              <c:idx val="8"/>
              <c:layout>
                <c:manualLayout>
                  <c:x val="-2.7586206896551752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634-4365-9BFF-F6163DCF0EF9}"/>
                </c:ext>
              </c:extLst>
            </c:dLbl>
            <c:dLbl>
              <c:idx val="9"/>
              <c:layout>
                <c:manualLayout>
                  <c:x val="-5.5172413793103513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634-4365-9BFF-F6163DCF0EF9}"/>
                </c:ext>
              </c:extLst>
            </c:dLbl>
            <c:dLbl>
              <c:idx val="10"/>
              <c:layout>
                <c:manualLayout>
                  <c:x val="-4.1379310344827587E-3"/>
                  <c:y val="6.792452426536776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634-4365-9BFF-F6163DCF0EF9}"/>
                </c:ext>
              </c:extLst>
            </c:dLbl>
            <c:dLbl>
              <c:idx val="11"/>
              <c:layout>
                <c:manualLayout>
                  <c:x val="-2.7586206896551752E-3"/>
                  <c:y val="-8.301790396109511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634-4365-9BFF-F6163DCF0EF9}"/>
                </c:ext>
              </c:extLst>
            </c:dLbl>
            <c:dLbl>
              <c:idx val="12"/>
              <c:layout>
                <c:manualLayout>
                  <c:x val="-5.5172413793103513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634-4365-9BFF-F6163DCF0EF9}"/>
                </c:ext>
              </c:extLst>
            </c:dLbl>
            <c:dLbl>
              <c:idx val="13"/>
              <c:layout>
                <c:manualLayout>
                  <c:x val="-2.7586206896551752E-3"/>
                  <c:y val="-8.301790396109511E-17"/>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C634-4365-9BFF-F6163DCF0EF9}"/>
                </c:ext>
              </c:extLst>
            </c:dLbl>
            <c:dLbl>
              <c:idx val="15"/>
              <c:layout>
                <c:manualLayout>
                  <c:x val="-5.5172413793102438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634-4365-9BFF-F6163DCF0EF9}"/>
                </c:ext>
              </c:extLst>
            </c:dLbl>
            <c:spPr>
              <a:noFill/>
              <a:ln>
                <a:noFill/>
              </a:ln>
              <a:effectLst/>
            </c:spPr>
            <c:txPr>
              <a:bodyPr/>
              <a:lstStyle/>
              <a:p>
                <a:pPr>
                  <a:defRPr sz="800"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'для диаг.3.20'!$B$3:$S$3</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'для диаг.3.20'!$B$4:$S$4</c:f>
              <c:numCache>
                <c:formatCode>General</c:formatCode>
                <c:ptCount val="18"/>
                <c:pt idx="0">
                  <c:v>46</c:v>
                </c:pt>
                <c:pt idx="1">
                  <c:v>71</c:v>
                </c:pt>
                <c:pt idx="2">
                  <c:v>111</c:v>
                </c:pt>
                <c:pt idx="3">
                  <c:v>146</c:v>
                </c:pt>
                <c:pt idx="4">
                  <c:v>155</c:v>
                </c:pt>
                <c:pt idx="5">
                  <c:v>146</c:v>
                </c:pt>
                <c:pt idx="6">
                  <c:v>134</c:v>
                </c:pt>
                <c:pt idx="7">
                  <c:v>121</c:v>
                </c:pt>
                <c:pt idx="8">
                  <c:v>115</c:v>
                </c:pt>
                <c:pt idx="9">
                  <c:v>111</c:v>
                </c:pt>
                <c:pt idx="10">
                  <c:v>111</c:v>
                </c:pt>
                <c:pt idx="11">
                  <c:v>109</c:v>
                </c:pt>
                <c:pt idx="12">
                  <c:v>105</c:v>
                </c:pt>
                <c:pt idx="13">
                  <c:v>103</c:v>
                </c:pt>
                <c:pt idx="14">
                  <c:v>98</c:v>
                </c:pt>
                <c:pt idx="15">
                  <c:v>100</c:v>
                </c:pt>
                <c:pt idx="16">
                  <c:v>96</c:v>
                </c:pt>
                <c:pt idx="17">
                  <c:v>81</c:v>
                </c:pt>
              </c:numCache>
            </c:numRef>
          </c:val>
          <c:extLst>
            <c:ext xmlns:c16="http://schemas.microsoft.com/office/drawing/2014/chart" uri="{C3380CC4-5D6E-409C-BE32-E72D297353CC}">
              <c16:uniqueId val="{0000000D-C634-4365-9BFF-F6163DCF0EF9}"/>
            </c:ext>
          </c:extLst>
        </c:ser>
        <c:ser>
          <c:idx val="3"/>
          <c:order val="1"/>
          <c:tx>
            <c:strRef>
              <c:f>'для диаг.3.20'!$A$5</c:f>
              <c:strCache>
                <c:ptCount val="1"/>
                <c:pt idx="0">
                  <c:v>Расход ИК  в системе нефтесбора, тн</c:v>
                </c:pt>
              </c:strCache>
            </c:strRef>
          </c:tx>
          <c:spPr>
            <a:solidFill>
              <a:srgbClr val="008000"/>
            </a:solidFill>
            <a:ln w="12700">
              <a:solidFill>
                <a:srgbClr val="000000"/>
              </a:solidFill>
              <a:prstDash val="solid"/>
            </a:ln>
          </c:spPr>
          <c:invertIfNegative val="0"/>
          <c:dLbls>
            <c:dLbl>
              <c:idx val="0"/>
              <c:layout>
                <c:manualLayout>
                  <c:x val="-5.5172413793103513E-3"/>
                  <c:y val="2.264150808845683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634-4365-9BFF-F6163DCF0EF9}"/>
                </c:ext>
              </c:extLst>
            </c:dLbl>
            <c:dLbl>
              <c:idx val="1"/>
              <c:layout>
                <c:manualLayout>
                  <c:x val="-6.8965517241379387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634-4365-9BFF-F6163DCF0EF9}"/>
                </c:ext>
              </c:extLst>
            </c:dLbl>
            <c:dLbl>
              <c:idx val="2"/>
              <c:layout>
                <c:manualLayout>
                  <c:x val="-5.5172413793103513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634-4365-9BFF-F6163DCF0EF9}"/>
                </c:ext>
              </c:extLst>
            </c:dLbl>
            <c:dLbl>
              <c:idx val="3"/>
              <c:layout>
                <c:manualLayout>
                  <c:x val="-6.8965517241379084E-3"/>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634-4365-9BFF-F6163DCF0EF9}"/>
                </c:ext>
              </c:extLst>
            </c:dLbl>
            <c:dLbl>
              <c:idx val="4"/>
              <c:layout>
                <c:manualLayout>
                  <c:x val="-9.655172413793104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634-4365-9BFF-F6163DCF0EF9}"/>
                </c:ext>
              </c:extLst>
            </c:dLbl>
            <c:dLbl>
              <c:idx val="5"/>
              <c:layout>
                <c:manualLayout>
                  <c:x val="-8.2758620689655227E-3"/>
                  <c:y val="6.792452426536816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634-4365-9BFF-F6163DCF0EF9}"/>
                </c:ext>
              </c:extLst>
            </c:dLbl>
            <c:dLbl>
              <c:idx val="6"/>
              <c:layout>
                <c:manualLayout>
                  <c:x val="-9.655172413793104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634-4365-9BFF-F6163DCF0EF9}"/>
                </c:ext>
              </c:extLst>
            </c:dLbl>
            <c:dLbl>
              <c:idx val="7"/>
              <c:layout>
                <c:manualLayout>
                  <c:x val="-6.8965517241379387E-3"/>
                  <c:y val="2.264150808845560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634-4365-9BFF-F6163DCF0EF9}"/>
                </c:ext>
              </c:extLst>
            </c:dLbl>
            <c:dLbl>
              <c:idx val="8"/>
              <c:layout>
                <c:manualLayout>
                  <c:x val="-9.655172413793104E-3"/>
                  <c:y val="2.264150808845560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634-4365-9BFF-F6163DCF0EF9}"/>
                </c:ext>
              </c:extLst>
            </c:dLbl>
            <c:dLbl>
              <c:idx val="9"/>
              <c:layout>
                <c:manualLayout>
                  <c:x val="-1.1034482758620689E-2"/>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C634-4365-9BFF-F6163DCF0EF9}"/>
                </c:ext>
              </c:extLst>
            </c:dLbl>
            <c:dLbl>
              <c:idx val="10"/>
              <c:layout>
                <c:manualLayout>
                  <c:x val="-6.8965517241379387E-3"/>
                  <c:y val="9.056603235382404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634-4365-9BFF-F6163DCF0EF9}"/>
                </c:ext>
              </c:extLst>
            </c:dLbl>
            <c:dLbl>
              <c:idx val="11"/>
              <c:layout>
                <c:manualLayout>
                  <c:x val="-1.2413793103448274E-2"/>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634-4365-9BFF-F6163DCF0EF9}"/>
                </c:ext>
              </c:extLst>
            </c:dLbl>
            <c:dLbl>
              <c:idx val="12"/>
              <c:layout>
                <c:manualLayout>
                  <c:x val="-8.2758620689655227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634-4365-9BFF-F6163DCF0EF9}"/>
                </c:ext>
              </c:extLst>
            </c:dLbl>
            <c:dLbl>
              <c:idx val="13"/>
              <c:layout>
                <c:manualLayout>
                  <c:x val="-8.2758620689655227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634-4365-9BFF-F6163DCF0EF9}"/>
                </c:ext>
              </c:extLst>
            </c:dLbl>
            <c:dLbl>
              <c:idx val="14"/>
              <c:layout>
                <c:manualLayout>
                  <c:x val="-1.3793103448275884E-2"/>
                  <c:y val="1.13207540442279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634-4365-9BFF-F6163DCF0EF9}"/>
                </c:ext>
              </c:extLst>
            </c:dLbl>
            <c:spPr>
              <a:noFill/>
              <a:ln>
                <a:noFill/>
              </a:ln>
              <a:effectLst/>
            </c:spPr>
            <c:txPr>
              <a:bodyPr/>
              <a:lstStyle/>
              <a:p>
                <a:pPr>
                  <a:defRPr sz="800" b="1">
                    <a:solidFill>
                      <a:srgbClr val="009900"/>
                    </a:solidFill>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'для диаг.3.20'!$B$3:$S$3</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'для диаг.3.20'!$B$5:$S$5</c:f>
              <c:numCache>
                <c:formatCode>General</c:formatCode>
                <c:ptCount val="18"/>
                <c:pt idx="0">
                  <c:v>240</c:v>
                </c:pt>
                <c:pt idx="1">
                  <c:v>360</c:v>
                </c:pt>
                <c:pt idx="2">
                  <c:v>498</c:v>
                </c:pt>
                <c:pt idx="3">
                  <c:v>732</c:v>
                </c:pt>
                <c:pt idx="4" formatCode="0">
                  <c:v>726.35999999999899</c:v>
                </c:pt>
                <c:pt idx="5" formatCode="0">
                  <c:v>660.99</c:v>
                </c:pt>
                <c:pt idx="6">
                  <c:v>638.79999999999995</c:v>
                </c:pt>
                <c:pt idx="7" formatCode="0.0">
                  <c:v>592.48299999999949</c:v>
                </c:pt>
                <c:pt idx="8" formatCode="0.0">
                  <c:v>561.03800000000001</c:v>
                </c:pt>
                <c:pt idx="9" formatCode="0.0">
                  <c:v>598.07799999999997</c:v>
                </c:pt>
                <c:pt idx="10" formatCode="0.0">
                  <c:v>581.07500000000005</c:v>
                </c:pt>
                <c:pt idx="11" formatCode="0.0">
                  <c:v>530.84399999999948</c:v>
                </c:pt>
                <c:pt idx="12" formatCode="0.0">
                  <c:v>555.44599999999946</c:v>
                </c:pt>
                <c:pt idx="13" formatCode="0.0">
                  <c:v>549.428</c:v>
                </c:pt>
                <c:pt idx="14" formatCode="0.0">
                  <c:v>502.31799999999993</c:v>
                </c:pt>
                <c:pt idx="15" formatCode="0.0">
                  <c:v>471.00900000000001</c:v>
                </c:pt>
                <c:pt idx="16">
                  <c:v>522.70000000000005</c:v>
                </c:pt>
                <c:pt idx="17">
                  <c:v>469.09199999999919</c:v>
                </c:pt>
              </c:numCache>
            </c:numRef>
          </c:val>
          <c:extLst>
            <c:ext xmlns:c16="http://schemas.microsoft.com/office/drawing/2014/chart" uri="{C3380CC4-5D6E-409C-BE32-E72D297353CC}">
              <c16:uniqueId val="{0000001D-C634-4365-9BFF-F6163DCF0EF9}"/>
            </c:ext>
          </c:extLst>
        </c:ser>
        <c:ser>
          <c:idx val="0"/>
          <c:order val="2"/>
          <c:tx>
            <c:strRef>
              <c:f>'для диаг.3.20'!$A$6</c:f>
              <c:strCache>
                <c:ptCount val="1"/>
                <c:pt idx="0">
                  <c:v>Охват н/проводов системой ингибирования, км</c:v>
                </c:pt>
              </c:strCache>
            </c:strRef>
          </c:tx>
          <c:invertIfNegative val="0"/>
          <c:dLbls>
            <c:dLbl>
              <c:idx val="1"/>
              <c:layout>
                <c:manualLayout>
                  <c:x val="6.8965517241379387E-3"/>
                  <c:y val="4.52830161769118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E-C634-4365-9BFF-F6163DCF0EF9}"/>
                </c:ext>
              </c:extLst>
            </c:dLbl>
            <c:dLbl>
              <c:idx val="14"/>
              <c:layout>
                <c:manualLayout>
                  <c:x val="1.3793103448275784E-2"/>
                  <c:y val="2.2641508088456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F-C634-4365-9BFF-F6163DCF0EF9}"/>
                </c:ext>
              </c:extLst>
            </c:dLbl>
            <c:dLbl>
              <c:idx val="15"/>
              <c:layout>
                <c:manualLayout>
                  <c:x val="1.2413793103448274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0-C634-4365-9BFF-F6163DCF0EF9}"/>
                </c:ext>
              </c:extLst>
            </c:dLbl>
            <c:dLbl>
              <c:idx val="16"/>
              <c:layout>
                <c:manualLayout>
                  <c:x val="9.655172413793104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1-C634-4365-9BFF-F6163DCF0EF9}"/>
                </c:ext>
              </c:extLst>
            </c:dLbl>
            <c:dLbl>
              <c:idx val="17"/>
              <c:layout>
                <c:manualLayout>
                  <c:x val="1.103448275862068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22-C634-4365-9BFF-F6163DCF0EF9}"/>
                </c:ext>
              </c:extLst>
            </c:dLbl>
            <c:spPr>
              <a:solidFill>
                <a:schemeClr val="bg1"/>
              </a:solidFill>
            </c:spPr>
            <c:txPr>
              <a:bodyPr/>
              <a:lstStyle/>
              <a:p>
                <a:pPr>
                  <a:defRPr sz="800" b="0" i="0" u="none" strike="noStrike" baseline="0">
                    <a:solidFill>
                      <a:srgbClr val="000000"/>
                    </a:solidFill>
                    <a:latin typeface="Times New Roman"/>
                    <a:ea typeface="Times New Roman"/>
                    <a:cs typeface="Times New Roman"/>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'для диаг.3.20'!$B$3:$S$3</c:f>
              <c:numCache>
                <c:formatCode>General</c:formatCode>
                <c:ptCount val="18"/>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numCache>
            </c:numRef>
          </c:cat>
          <c:val>
            <c:numRef>
              <c:f>'для диаг.3.20'!$B$6:$S$6</c:f>
              <c:numCache>
                <c:formatCode>0</c:formatCode>
                <c:ptCount val="18"/>
                <c:pt idx="0">
                  <c:v>268.82</c:v>
                </c:pt>
                <c:pt idx="1">
                  <c:v>337</c:v>
                </c:pt>
                <c:pt idx="2">
                  <c:v>588.1</c:v>
                </c:pt>
                <c:pt idx="3" formatCode="General">
                  <c:v>745</c:v>
                </c:pt>
                <c:pt idx="4" formatCode="General">
                  <c:v>793</c:v>
                </c:pt>
                <c:pt idx="5" formatCode="General">
                  <c:v>753.4</c:v>
                </c:pt>
                <c:pt idx="6">
                  <c:v>882</c:v>
                </c:pt>
                <c:pt idx="7" formatCode="0.0">
                  <c:v>899.11</c:v>
                </c:pt>
                <c:pt idx="8" formatCode="0.0">
                  <c:v>824.74</c:v>
                </c:pt>
                <c:pt idx="9" formatCode="0.0">
                  <c:v>656.58699999999999</c:v>
                </c:pt>
                <c:pt idx="10" formatCode="0.0">
                  <c:v>617.6</c:v>
                </c:pt>
                <c:pt idx="11" formatCode="0.0">
                  <c:v>612.8519999999985</c:v>
                </c:pt>
                <c:pt idx="12" formatCode="0.0">
                  <c:v>585.67900000000054</c:v>
                </c:pt>
                <c:pt idx="13" formatCode="0.0">
                  <c:v>585.4</c:v>
                </c:pt>
                <c:pt idx="14" formatCode="0.0">
                  <c:v>501.108</c:v>
                </c:pt>
                <c:pt idx="15" formatCode="General">
                  <c:v>422.7</c:v>
                </c:pt>
                <c:pt idx="16" formatCode="General">
                  <c:v>387</c:v>
                </c:pt>
                <c:pt idx="17" formatCode="General">
                  <c:v>363.9</c:v>
                </c:pt>
              </c:numCache>
            </c:numRef>
          </c:val>
          <c:extLst>
            <c:ext xmlns:c16="http://schemas.microsoft.com/office/drawing/2014/chart" uri="{C3380CC4-5D6E-409C-BE32-E72D297353CC}">
              <c16:uniqueId val="{00000023-C634-4365-9BFF-F6163DCF0EF9}"/>
            </c:ext>
          </c:extLst>
        </c:ser>
        <c:dLbls>
          <c:showLegendKey val="0"/>
          <c:showVal val="0"/>
          <c:showCatName val="0"/>
          <c:showSerName val="0"/>
          <c:showPercent val="0"/>
          <c:showBubbleSize val="0"/>
        </c:dLbls>
        <c:gapWidth val="150"/>
        <c:axId val="138098560"/>
        <c:axId val="138100096"/>
      </c:barChart>
      <c:catAx>
        <c:axId val="13809856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Times New Roman"/>
                <a:ea typeface="Times New Roman"/>
                <a:cs typeface="Times New Roman"/>
              </a:defRPr>
            </a:pPr>
            <a:endParaRPr lang="ru-RU"/>
          </a:p>
        </c:txPr>
        <c:crossAx val="138100096"/>
        <c:crosses val="autoZero"/>
        <c:auto val="1"/>
        <c:lblAlgn val="ctr"/>
        <c:lblOffset val="100"/>
        <c:noMultiLvlLbl val="0"/>
      </c:catAx>
      <c:valAx>
        <c:axId val="138100096"/>
        <c:scaling>
          <c:orientation val="minMax"/>
        </c:scaling>
        <c:delete val="0"/>
        <c:axPos val="l"/>
        <c:majorGridlines>
          <c:spPr>
            <a:ln w="3175">
              <a:solidFill>
                <a:srgbClr val="FFFFFF"/>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Times New Roman"/>
                <a:ea typeface="Times New Roman"/>
                <a:cs typeface="Times New Roman"/>
              </a:defRPr>
            </a:pPr>
            <a:endParaRPr lang="ru-RU"/>
          </a:p>
        </c:txPr>
        <c:crossAx val="138098560"/>
        <c:crosses val="autoZero"/>
        <c:crossBetween val="between"/>
      </c:valAx>
      <c:spPr>
        <a:noFill/>
        <a:ln w="25400">
          <a:noFill/>
        </a:ln>
      </c:spPr>
    </c:plotArea>
    <c:legend>
      <c:legendPos val="b"/>
      <c:layout>
        <c:manualLayout>
          <c:xMode val="edge"/>
          <c:yMode val="edge"/>
          <c:x val="0.11612994027920441"/>
          <c:y val="0.87565143642759291"/>
          <c:w val="0.74180118789499161"/>
          <c:h val="0.10220954523541717"/>
        </c:manualLayout>
      </c:layout>
      <c:overlay val="0"/>
      <c:spPr>
        <a:solidFill>
          <a:srgbClr val="FFFFFF"/>
        </a:solidFill>
        <a:ln w="3175">
          <a:solidFill>
            <a:srgbClr val="000000"/>
          </a:solidFill>
          <a:prstDash val="solid"/>
        </a:ln>
      </c:spPr>
      <c:txPr>
        <a:bodyPr/>
        <a:lstStyle/>
        <a:p>
          <a:pPr>
            <a:defRPr sz="845"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noFill/>
    <a:ln w="9525">
      <a:solidFill>
        <a:schemeClr val="tx1"/>
      </a:solidFill>
    </a:ln>
  </c:spPr>
  <c:txPr>
    <a:bodyPr/>
    <a:lstStyle/>
    <a:p>
      <a:pPr>
        <a:defRPr sz="1200" b="0"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a:t>Динамика изменения ингибиторной защиты сборных и напорных нефтепроводов  от внутренней коррозии за 2011-2016гг</a:t>
            </a:r>
          </a:p>
        </c:rich>
      </c:tx>
      <c:overlay val="0"/>
    </c:title>
    <c:autoTitleDeleted val="0"/>
    <c:plotArea>
      <c:layout/>
      <c:barChart>
        <c:barDir val="col"/>
        <c:grouping val="clustered"/>
        <c:varyColors val="0"/>
        <c:ser>
          <c:idx val="0"/>
          <c:order val="0"/>
          <c:tx>
            <c:strRef>
              <c:f>'диаг.3.21 (2)'!$A$2</c:f>
              <c:strCache>
                <c:ptCount val="1"/>
                <c:pt idx="0">
                  <c:v>Всего в эксплуатации, км</c:v>
                </c:pt>
              </c:strCache>
            </c:strRef>
          </c:tx>
          <c:invertIfNegative val="0"/>
          <c:dLbls>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'диаг.3.21 (2)'!$B$1:$G$1</c:f>
              <c:numCache>
                <c:formatCode>General</c:formatCode>
                <c:ptCount val="6"/>
                <c:pt idx="0">
                  <c:v>2011</c:v>
                </c:pt>
                <c:pt idx="1">
                  <c:v>2012</c:v>
                </c:pt>
                <c:pt idx="2">
                  <c:v>2013</c:v>
                </c:pt>
                <c:pt idx="3">
                  <c:v>2014</c:v>
                </c:pt>
                <c:pt idx="4">
                  <c:v>2015</c:v>
                </c:pt>
                <c:pt idx="5">
                  <c:v>2016</c:v>
                </c:pt>
              </c:numCache>
            </c:numRef>
          </c:cat>
          <c:val>
            <c:numRef>
              <c:f>'диаг.3.21 (2)'!$B$2:$G$2</c:f>
              <c:numCache>
                <c:formatCode>0.0</c:formatCode>
                <c:ptCount val="6"/>
                <c:pt idx="0">
                  <c:v>980.29100000000005</c:v>
                </c:pt>
                <c:pt idx="1">
                  <c:v>972.2</c:v>
                </c:pt>
                <c:pt idx="2">
                  <c:v>973.57299999999998</c:v>
                </c:pt>
                <c:pt idx="3">
                  <c:v>967.7</c:v>
                </c:pt>
                <c:pt idx="4">
                  <c:v>971.39</c:v>
                </c:pt>
                <c:pt idx="5">
                  <c:v>970.87199999999996</c:v>
                </c:pt>
              </c:numCache>
            </c:numRef>
          </c:val>
          <c:extLst>
            <c:ext xmlns:c16="http://schemas.microsoft.com/office/drawing/2014/chart" uri="{C3380CC4-5D6E-409C-BE32-E72D297353CC}">
              <c16:uniqueId val="{00000000-7435-4815-A151-5F60FF04D8C8}"/>
            </c:ext>
          </c:extLst>
        </c:ser>
        <c:ser>
          <c:idx val="1"/>
          <c:order val="1"/>
          <c:tx>
            <c:strRef>
              <c:f>'диаг.3.21 (2)'!$A$3</c:f>
              <c:strCache>
                <c:ptCount val="1"/>
                <c:pt idx="0">
                  <c:v>Защита ИК, км</c:v>
                </c:pt>
              </c:strCache>
            </c:strRef>
          </c:tx>
          <c:invertIfNegative val="0"/>
          <c:dLbls>
            <c:dLbl>
              <c:idx val="0"/>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524,7</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53,5%</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435-4815-A151-5F60FF04D8C8}"/>
                </c:ext>
              </c:extLst>
            </c:dLbl>
            <c:dLbl>
              <c:idx val="1"/>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500,3</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51,5%</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435-4815-A151-5F60FF04D8C8}"/>
                </c:ext>
              </c:extLst>
            </c:dLbl>
            <c:dLbl>
              <c:idx val="2"/>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497,7</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51,1%</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435-4815-A151-5F60FF04D8C8}"/>
                </c:ext>
              </c:extLst>
            </c:dLbl>
            <c:dLbl>
              <c:idx val="3"/>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490,0</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50,6%</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435-4815-A151-5F60FF04D8C8}"/>
                </c:ext>
              </c:extLst>
            </c:dLbl>
            <c:dLbl>
              <c:idx val="4"/>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407,9</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42%</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435-4815-A151-5F60FF04D8C8}"/>
                </c:ext>
              </c:extLst>
            </c:dLbl>
            <c:dLbl>
              <c:idx val="5"/>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387,0</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39,9%  </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435-4815-A151-5F60FF04D8C8}"/>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'диаг.3.21 (2)'!$B$1:$G$1</c:f>
              <c:numCache>
                <c:formatCode>General</c:formatCode>
                <c:ptCount val="6"/>
                <c:pt idx="0">
                  <c:v>2011</c:v>
                </c:pt>
                <c:pt idx="1">
                  <c:v>2012</c:v>
                </c:pt>
                <c:pt idx="2">
                  <c:v>2013</c:v>
                </c:pt>
                <c:pt idx="3">
                  <c:v>2014</c:v>
                </c:pt>
                <c:pt idx="4">
                  <c:v>2015</c:v>
                </c:pt>
                <c:pt idx="5">
                  <c:v>2016</c:v>
                </c:pt>
              </c:numCache>
            </c:numRef>
          </c:cat>
          <c:val>
            <c:numRef>
              <c:f>'диаг.3.21 (2)'!$B$3:$G$3</c:f>
              <c:numCache>
                <c:formatCode>0.0</c:formatCode>
                <c:ptCount val="6"/>
                <c:pt idx="0">
                  <c:v>524.71799999999996</c:v>
                </c:pt>
                <c:pt idx="1">
                  <c:v>500.33300000000003</c:v>
                </c:pt>
                <c:pt idx="2">
                  <c:v>497.74200000000002</c:v>
                </c:pt>
                <c:pt idx="3">
                  <c:v>489.95800000000003</c:v>
                </c:pt>
                <c:pt idx="4">
                  <c:v>407.86200000000002</c:v>
                </c:pt>
                <c:pt idx="5">
                  <c:v>387</c:v>
                </c:pt>
              </c:numCache>
            </c:numRef>
          </c:val>
          <c:extLst>
            <c:ext xmlns:c16="http://schemas.microsoft.com/office/drawing/2014/chart" uri="{C3380CC4-5D6E-409C-BE32-E72D297353CC}">
              <c16:uniqueId val="{00000007-7435-4815-A151-5F60FF04D8C8}"/>
            </c:ext>
          </c:extLst>
        </c:ser>
        <c:ser>
          <c:idx val="2"/>
          <c:order val="2"/>
          <c:tx>
            <c:strRef>
              <c:f>'диаг.3.21 (2)'!$A$4</c:f>
              <c:strCache>
                <c:ptCount val="1"/>
                <c:pt idx="0">
                  <c:v>Защита МПТ и ППТ, км</c:v>
                </c:pt>
              </c:strCache>
            </c:strRef>
          </c:tx>
          <c:invertIfNegative val="0"/>
          <c:dLbls>
            <c:dLbl>
              <c:idx val="0"/>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455,6</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46,5%</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435-4815-A151-5F60FF04D8C8}"/>
                </c:ext>
              </c:extLst>
            </c:dLbl>
            <c:dLbl>
              <c:idx val="1"/>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518,9 </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53,4%</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435-4815-A151-5F60FF04D8C8}"/>
                </c:ext>
              </c:extLst>
            </c:dLbl>
            <c:dLbl>
              <c:idx val="2"/>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531,2</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54,6%</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435-4815-A151-5F60FF04D8C8}"/>
                </c:ext>
              </c:extLst>
            </c:dLbl>
            <c:dLbl>
              <c:idx val="3"/>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566,4</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58,5%</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435-4815-A151-5F60FF04D8C8}"/>
                </c:ext>
              </c:extLst>
            </c:dLbl>
            <c:dLbl>
              <c:idx val="4"/>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581,0</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59,8%</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7435-4815-A151-5F60FF04D8C8}"/>
                </c:ext>
              </c:extLst>
            </c:dLbl>
            <c:dLbl>
              <c:idx val="5"/>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Times New Roman"/>
                        <a:cs typeface="Times New Roman"/>
                      </a:rPr>
                      <a:t>601,9</a:t>
                    </a:r>
                  </a:p>
                  <a:p>
                    <a:pPr>
                      <a:defRPr sz="1000" b="0" i="0" u="none" strike="noStrike" baseline="0">
                        <a:solidFill>
                          <a:srgbClr val="000000"/>
                        </a:solidFill>
                        <a:latin typeface="Calibri"/>
                        <a:ea typeface="Calibri"/>
                        <a:cs typeface="Calibri"/>
                      </a:defRPr>
                    </a:pPr>
                    <a:r>
                      <a:rPr lang="ru-RU" sz="1000" b="0" i="0" u="none" strike="noStrike" baseline="0">
                        <a:solidFill>
                          <a:srgbClr val="000000"/>
                        </a:solidFill>
                        <a:latin typeface="Times New Roman"/>
                        <a:cs typeface="Times New Roman"/>
                      </a:rPr>
                      <a:t>62,0%</a:t>
                    </a:r>
                  </a:p>
                </c:rich>
              </c:tx>
              <c:spPr/>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435-4815-A151-5F60FF04D8C8}"/>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'диаг.3.21 (2)'!$B$1:$G$1</c:f>
              <c:numCache>
                <c:formatCode>General</c:formatCode>
                <c:ptCount val="6"/>
                <c:pt idx="0">
                  <c:v>2011</c:v>
                </c:pt>
                <c:pt idx="1">
                  <c:v>2012</c:v>
                </c:pt>
                <c:pt idx="2">
                  <c:v>2013</c:v>
                </c:pt>
                <c:pt idx="3">
                  <c:v>2014</c:v>
                </c:pt>
                <c:pt idx="4">
                  <c:v>2015</c:v>
                </c:pt>
                <c:pt idx="5">
                  <c:v>2016</c:v>
                </c:pt>
              </c:numCache>
            </c:numRef>
          </c:cat>
          <c:val>
            <c:numRef>
              <c:f>'диаг.3.21 (2)'!$B$4:$G$4</c:f>
              <c:numCache>
                <c:formatCode>0.0</c:formatCode>
                <c:ptCount val="6"/>
                <c:pt idx="0">
                  <c:v>455.57299999999969</c:v>
                </c:pt>
                <c:pt idx="1">
                  <c:v>518.85999999999899</c:v>
                </c:pt>
                <c:pt idx="2">
                  <c:v>531.22699999999998</c:v>
                </c:pt>
                <c:pt idx="3">
                  <c:v>566.4</c:v>
                </c:pt>
                <c:pt idx="4">
                  <c:v>580.98699999999997</c:v>
                </c:pt>
                <c:pt idx="5">
                  <c:v>601.9</c:v>
                </c:pt>
              </c:numCache>
            </c:numRef>
          </c:val>
          <c:extLst>
            <c:ext xmlns:c16="http://schemas.microsoft.com/office/drawing/2014/chart" uri="{C3380CC4-5D6E-409C-BE32-E72D297353CC}">
              <c16:uniqueId val="{0000000E-7435-4815-A151-5F60FF04D8C8}"/>
            </c:ext>
          </c:extLst>
        </c:ser>
        <c:dLbls>
          <c:showLegendKey val="0"/>
          <c:showVal val="0"/>
          <c:showCatName val="0"/>
          <c:showSerName val="0"/>
          <c:showPercent val="0"/>
          <c:showBubbleSize val="0"/>
        </c:dLbls>
        <c:gapWidth val="75"/>
        <c:overlap val="-25"/>
        <c:axId val="138205824"/>
        <c:axId val="139645312"/>
      </c:barChart>
      <c:catAx>
        <c:axId val="13820582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9645312"/>
        <c:crosses val="autoZero"/>
        <c:auto val="1"/>
        <c:lblAlgn val="ctr"/>
        <c:lblOffset val="100"/>
        <c:noMultiLvlLbl val="0"/>
      </c:catAx>
      <c:valAx>
        <c:axId val="139645312"/>
        <c:scaling>
          <c:orientation val="minMax"/>
        </c:scaling>
        <c:delete val="0"/>
        <c:axPos val="l"/>
        <c:numFmt formatCode="0.0"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8205824"/>
        <c:crosses val="autoZero"/>
        <c:crossBetween val="between"/>
      </c:valAx>
      <c:spPr>
        <a:noFill/>
        <a:ln w="25400">
          <a:noFill/>
        </a:ln>
      </c:spPr>
    </c:plotArea>
    <c:legend>
      <c:legendPos val="b"/>
      <c:overlay val="0"/>
      <c:txPr>
        <a:bodyPr/>
        <a:lstStyle/>
        <a:p>
          <a:pPr>
            <a:defRPr sz="920"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b="1" i="0" u="none" strike="noStrike" baseline="0">
                <a:solidFill>
                  <a:srgbClr val="000000"/>
                </a:solidFill>
                <a:latin typeface="Times New Roman"/>
                <a:ea typeface="Times New Roman"/>
                <a:cs typeface="Times New Roman"/>
              </a:defRPr>
            </a:pPr>
            <a:r>
              <a:rPr lang="ru-RU" sz="1100"/>
              <a:t>Охват нефтегазопроводов коррозионным мониторингом в разрезе нефтепромыслов на 01.01.18г</a:t>
            </a:r>
          </a:p>
        </c:rich>
      </c:tx>
      <c:overlay val="0"/>
    </c:title>
    <c:autoTitleDeleted val="0"/>
    <c:plotArea>
      <c:layout>
        <c:manualLayout>
          <c:layoutTarget val="inner"/>
          <c:xMode val="edge"/>
          <c:yMode val="edge"/>
          <c:x val="9.5892272315518098E-2"/>
          <c:y val="0.1608999101356674"/>
          <c:w val="0.8970906206817606"/>
          <c:h val="0.70607023489152465"/>
        </c:manualLayout>
      </c:layout>
      <c:barChart>
        <c:barDir val="col"/>
        <c:grouping val="clustered"/>
        <c:varyColors val="0"/>
        <c:ser>
          <c:idx val="0"/>
          <c:order val="0"/>
          <c:tx>
            <c:strRef>
              <c:f>диаг.3.22!$B$1</c:f>
              <c:strCache>
                <c:ptCount val="1"/>
                <c:pt idx="0">
                  <c:v>2016г</c:v>
                </c:pt>
              </c:strCache>
            </c:strRef>
          </c:tx>
          <c:invertIfNegative val="0"/>
          <c:dLbls>
            <c:dLbl>
              <c:idx val="0"/>
              <c:layout>
                <c:manualLayout>
                  <c:x val="-1.2461059190031175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1B7-416F-8AB8-24F2DF40917D}"/>
                </c:ext>
              </c:extLst>
            </c:dLbl>
            <c:dLbl>
              <c:idx val="1"/>
              <c:layout>
                <c:manualLayout>
                  <c:x val="-6.2305295950155883E-3"/>
                  <c:y val="1.687763713080168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1B7-416F-8AB8-24F2DF40917D}"/>
                </c:ext>
              </c:extLst>
            </c:dLbl>
            <c:dLbl>
              <c:idx val="2"/>
              <c:layout>
                <c:manualLayout>
                  <c:x val="-8.3073727933541015E-3"/>
                  <c:y val="1.01265822784810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1B7-416F-8AB8-24F2DF40917D}"/>
                </c:ext>
              </c:extLst>
            </c:dLbl>
            <c:dLbl>
              <c:idx val="3"/>
              <c:layout>
                <c:manualLayout>
                  <c:x val="-6.2305295950155883E-3"/>
                  <c:y val="1.01265822784810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1B7-416F-8AB8-24F2DF40917D}"/>
                </c:ext>
              </c:extLst>
            </c:dLbl>
            <c:dLbl>
              <c:idx val="4"/>
              <c:layout>
                <c:manualLayout>
                  <c:x val="-4.1536863966769744E-3"/>
                  <c:y val="1.35021097046413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1B7-416F-8AB8-24F2DF40917D}"/>
                </c:ext>
              </c:extLst>
            </c:dLbl>
            <c:dLbl>
              <c:idx val="5"/>
              <c:layout>
                <c:manualLayout>
                  <c:x val="-4.1536863966770508E-3"/>
                  <c:y val="1.350210970464137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1B7-416F-8AB8-24F2DF40917D}"/>
                </c:ext>
              </c:extLst>
            </c:dLbl>
            <c:dLbl>
              <c:idx val="7"/>
              <c:layout>
                <c:manualLayout>
                  <c:x val="-4.3613707165109025E-2"/>
                  <c:y val="2.362869198312236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1B7-416F-8AB8-24F2DF40917D}"/>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диаг.3.22!$A$2:$A$8</c:f>
              <c:strCache>
                <c:ptCount val="7"/>
                <c:pt idx="0">
                  <c:v>ЦДНГ-1</c:v>
                </c:pt>
                <c:pt idx="1">
                  <c:v>ЦДНГ-2</c:v>
                </c:pt>
                <c:pt idx="2">
                  <c:v>ЦДНГ-4</c:v>
                </c:pt>
                <c:pt idx="3">
                  <c:v>ЦДНГ-5</c:v>
                </c:pt>
                <c:pt idx="4">
                  <c:v>ЦДНГ-6</c:v>
                </c:pt>
                <c:pt idx="5">
                  <c:v>ЦДНГ-7</c:v>
                </c:pt>
                <c:pt idx="6">
                  <c:v>Всего по НГДУ</c:v>
                </c:pt>
              </c:strCache>
            </c:strRef>
          </c:cat>
          <c:val>
            <c:numRef>
              <c:f>диаг.3.22!$B$2:$B$8</c:f>
              <c:numCache>
                <c:formatCode>0.0</c:formatCode>
                <c:ptCount val="7"/>
                <c:pt idx="0">
                  <c:v>14.423</c:v>
                </c:pt>
                <c:pt idx="1">
                  <c:v>108.024</c:v>
                </c:pt>
                <c:pt idx="2">
                  <c:v>30.064999999999987</c:v>
                </c:pt>
                <c:pt idx="3">
                  <c:v>58.790000000000013</c:v>
                </c:pt>
                <c:pt idx="4">
                  <c:v>78</c:v>
                </c:pt>
                <c:pt idx="5">
                  <c:v>97.694000000000003</c:v>
                </c:pt>
                <c:pt idx="6">
                  <c:v>386.99599999999919</c:v>
                </c:pt>
              </c:numCache>
            </c:numRef>
          </c:val>
          <c:extLst>
            <c:ext xmlns:c16="http://schemas.microsoft.com/office/drawing/2014/chart" uri="{C3380CC4-5D6E-409C-BE32-E72D297353CC}">
              <c16:uniqueId val="{00000007-B1B7-416F-8AB8-24F2DF40917D}"/>
            </c:ext>
          </c:extLst>
        </c:ser>
        <c:ser>
          <c:idx val="1"/>
          <c:order val="1"/>
          <c:tx>
            <c:strRef>
              <c:f>диаг.3.22!$C$1</c:f>
              <c:strCache>
                <c:ptCount val="1"/>
                <c:pt idx="0">
                  <c:v>2017г</c:v>
                </c:pt>
              </c:strCache>
            </c:strRef>
          </c:tx>
          <c:invertIfNegative val="0"/>
          <c:dLbls>
            <c:dLbl>
              <c:idx val="0"/>
              <c:layout>
                <c:manualLayout>
                  <c:x val="8.3073727933541015E-3"/>
                  <c:y val="0"/>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9,0 </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1B7-416F-8AB8-24F2DF40917D}"/>
                </c:ext>
              </c:extLst>
            </c:dLbl>
            <c:dLbl>
              <c:idx val="1"/>
              <c:layout>
                <c:manualLayout>
                  <c:x val="6.2305295950155883E-3"/>
                  <c:y val="-6.7510548523206804E-3"/>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66,6</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1B7-416F-8AB8-24F2DF40917D}"/>
                </c:ext>
              </c:extLst>
            </c:dLbl>
            <c:dLbl>
              <c:idx val="2"/>
              <c:layout>
                <c:manualLayout>
                  <c:x val="1.2461059190031175E-2"/>
                  <c:y val="-6.7510548523206804E-3"/>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17,1</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1B7-416F-8AB8-24F2DF40917D}"/>
                </c:ext>
              </c:extLst>
            </c:dLbl>
            <c:dLbl>
              <c:idx val="3"/>
              <c:layout>
                <c:manualLayout>
                  <c:x val="6.2305295950155883E-3"/>
                  <c:y val="-1.0126582278481023E-2"/>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56,2</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1B7-416F-8AB8-24F2DF40917D}"/>
                </c:ext>
              </c:extLst>
            </c:dLbl>
            <c:dLbl>
              <c:idx val="4"/>
              <c:layout>
                <c:manualLayout>
                  <c:x val="2.0768431983385228E-3"/>
                  <c:y val="-2.0253164556962036E-2"/>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51,9</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1B7-416F-8AB8-24F2DF40917D}"/>
                </c:ext>
              </c:extLst>
            </c:dLbl>
            <c:dLbl>
              <c:idx val="5"/>
              <c:layout>
                <c:manualLayout>
                  <c:x val="8.3073727933541015E-3"/>
                  <c:y val="-1.0126582278481023E-2"/>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58,9</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B1B7-416F-8AB8-24F2DF40917D}"/>
                </c:ext>
              </c:extLst>
            </c:dLbl>
            <c:dLbl>
              <c:idx val="6"/>
              <c:layout>
                <c:manualLayout>
                  <c:x val="1.4537902388369679E-2"/>
                  <c:y val="0"/>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259,7</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1B7-416F-8AB8-24F2DF40917D}"/>
                </c:ext>
              </c:extLst>
            </c:dLbl>
            <c:dLbl>
              <c:idx val="7"/>
              <c:layout>
                <c:manualLayout>
                  <c:x val="8.3073727933541015E-3"/>
                  <c:y val="-3.3755274261603402E-3"/>
                </c:manualLayout>
              </c:layout>
              <c:tx>
                <c:rich>
                  <a:bodyPr/>
                  <a:lstStyle/>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345,4</a:t>
                    </a:r>
                  </a:p>
                  <a:p>
                    <a:pPr>
                      <a:defRPr sz="1000" b="0" i="0" u="none" strike="noStrike" baseline="0">
                        <a:solidFill>
                          <a:srgbClr val="000000"/>
                        </a:solidFill>
                        <a:latin typeface="Calibri"/>
                        <a:ea typeface="Calibri"/>
                        <a:cs typeface="Calibri"/>
                      </a:defRPr>
                    </a:pPr>
                    <a:r>
                      <a:rPr lang="ru-RU" sz="1000" b="1" i="0" u="none" strike="noStrike" baseline="0">
                        <a:solidFill>
                          <a:srgbClr val="000000"/>
                        </a:solidFill>
                        <a:latin typeface="Calibri"/>
                      </a:rPr>
                      <a:t>(100%)</a:t>
                    </a:r>
                  </a:p>
                </c:rich>
              </c:tx>
              <c:spPr/>
              <c:dLblPos val="outEnd"/>
              <c:showLegendKey val="0"/>
              <c:showVal val="0"/>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B1B7-416F-8AB8-24F2DF40917D}"/>
                </c:ext>
              </c:extLst>
            </c:dLbl>
            <c:spPr>
              <a:noFill/>
              <a:ln>
                <a:noFill/>
              </a:ln>
              <a:effectLst/>
            </c:spPr>
            <c:txPr>
              <a:bodyPr/>
              <a:lstStyle/>
              <a:p>
                <a:pPr>
                  <a:defRPr sz="1000" b="1" i="0" u="none" strike="noStrike" baseline="0">
                    <a:solidFill>
                      <a:srgbClr val="000000"/>
                    </a:solidFill>
                    <a:latin typeface="Calibri"/>
                    <a:ea typeface="Calibri"/>
                    <a:cs typeface="Calibri"/>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диаг.3.22!$A$2:$A$8</c:f>
              <c:strCache>
                <c:ptCount val="7"/>
                <c:pt idx="0">
                  <c:v>ЦДНГ-1</c:v>
                </c:pt>
                <c:pt idx="1">
                  <c:v>ЦДНГ-2</c:v>
                </c:pt>
                <c:pt idx="2">
                  <c:v>ЦДНГ-4</c:v>
                </c:pt>
                <c:pt idx="3">
                  <c:v>ЦДНГ-5</c:v>
                </c:pt>
                <c:pt idx="4">
                  <c:v>ЦДНГ-6</c:v>
                </c:pt>
                <c:pt idx="5">
                  <c:v>ЦДНГ-7</c:v>
                </c:pt>
                <c:pt idx="6">
                  <c:v>Всего по НГДУ</c:v>
                </c:pt>
              </c:strCache>
            </c:strRef>
          </c:cat>
          <c:val>
            <c:numRef>
              <c:f>диаг.3.22!$C$2:$C$8</c:f>
              <c:numCache>
                <c:formatCode>0.0</c:formatCode>
                <c:ptCount val="7"/>
                <c:pt idx="0">
                  <c:v>8.9780000000000015</c:v>
                </c:pt>
                <c:pt idx="1">
                  <c:v>66.581000000000003</c:v>
                </c:pt>
                <c:pt idx="2">
                  <c:v>17.126000000000001</c:v>
                </c:pt>
                <c:pt idx="3">
                  <c:v>56.21</c:v>
                </c:pt>
                <c:pt idx="4">
                  <c:v>51.913999999999994</c:v>
                </c:pt>
                <c:pt idx="5">
                  <c:v>58.932000000000002</c:v>
                </c:pt>
                <c:pt idx="6">
                  <c:v>259.74100000000004</c:v>
                </c:pt>
              </c:numCache>
            </c:numRef>
          </c:val>
          <c:extLst>
            <c:ext xmlns:c16="http://schemas.microsoft.com/office/drawing/2014/chart" uri="{C3380CC4-5D6E-409C-BE32-E72D297353CC}">
              <c16:uniqueId val="{00000010-B1B7-416F-8AB8-24F2DF40917D}"/>
            </c:ext>
          </c:extLst>
        </c:ser>
        <c:dLbls>
          <c:showLegendKey val="0"/>
          <c:showVal val="0"/>
          <c:showCatName val="0"/>
          <c:showSerName val="0"/>
          <c:showPercent val="0"/>
          <c:showBubbleSize val="0"/>
        </c:dLbls>
        <c:gapWidth val="75"/>
        <c:axId val="139834112"/>
        <c:axId val="139835648"/>
      </c:barChart>
      <c:catAx>
        <c:axId val="139834112"/>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139835648"/>
        <c:crosses val="autoZero"/>
        <c:auto val="1"/>
        <c:lblAlgn val="ctr"/>
        <c:lblOffset val="100"/>
        <c:noMultiLvlLbl val="0"/>
      </c:catAx>
      <c:valAx>
        <c:axId val="139835648"/>
        <c:scaling>
          <c:orientation val="minMax"/>
        </c:scaling>
        <c:delete val="0"/>
        <c:axPos val="l"/>
        <c:numFmt formatCode="0.0" sourceLinked="1"/>
        <c:majorTickMark val="none"/>
        <c:minorTickMark val="none"/>
        <c:tickLblPos val="nextTo"/>
        <c:spPr>
          <a:ln w="9525">
            <a:noFill/>
          </a:ln>
        </c:spPr>
        <c:txPr>
          <a:bodyPr rot="0" vert="horz"/>
          <a:lstStyle/>
          <a:p>
            <a:pPr>
              <a:defRPr sz="1000" b="0" i="0" u="none" strike="noStrike" baseline="0">
                <a:solidFill>
                  <a:srgbClr val="000000"/>
                </a:solidFill>
                <a:latin typeface="Times New Roman" panose="02020603050405020304" pitchFamily="18" charset="0"/>
                <a:ea typeface="Calibri"/>
                <a:cs typeface="Times New Roman" panose="02020603050405020304" pitchFamily="18" charset="0"/>
              </a:defRPr>
            </a:pPr>
            <a:endParaRPr lang="ru-RU"/>
          </a:p>
        </c:txPr>
        <c:crossAx val="139834112"/>
        <c:crosses val="autoZero"/>
        <c:crossBetween val="between"/>
      </c:valAx>
      <c:spPr>
        <a:ln>
          <a:solidFill>
            <a:schemeClr val="tx1"/>
          </a:solidFill>
        </a:ln>
      </c:spPr>
    </c:plotArea>
    <c:legend>
      <c:legendPos val="b"/>
      <c:overlay val="0"/>
      <c:txPr>
        <a:bodyPr/>
        <a:lstStyle/>
        <a:p>
          <a:pPr>
            <a:defRPr sz="65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диаг.3.23!$A$4</c:f>
              <c:strCache>
                <c:ptCount val="1"/>
                <c:pt idx="0">
                  <c:v>план, г/т нефти</c:v>
                </c:pt>
              </c:strCache>
            </c:strRef>
          </c:tx>
          <c:spPr>
            <a:solidFill>
              <a:schemeClr val="tx2">
                <a:lumMod val="60000"/>
                <a:lumOff val="40000"/>
              </a:schemeClr>
            </a:solidFill>
            <a:ln w="12700">
              <a:solidFill>
                <a:srgbClr val="000000"/>
              </a:solidFill>
              <a:prstDash val="solid"/>
            </a:ln>
          </c:spPr>
          <c:invertIfNegative val="0"/>
          <c:dLbls>
            <c:dLbl>
              <c:idx val="9"/>
              <c:layout>
                <c:manualLayout>
                  <c:x val="-1.0296010296010301E-2"/>
                  <c:y val="2.588996763754053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E06-4AB7-8F83-5C21B688EE79}"/>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диаг.3.23!$K$3:$O$3</c:f>
              <c:strCache>
                <c:ptCount val="5"/>
                <c:pt idx="0">
                  <c:v>2013г</c:v>
                </c:pt>
                <c:pt idx="1">
                  <c:v>2014г</c:v>
                </c:pt>
                <c:pt idx="2">
                  <c:v>2015г</c:v>
                </c:pt>
                <c:pt idx="3">
                  <c:v>2016г</c:v>
                </c:pt>
                <c:pt idx="4">
                  <c:v>2017г</c:v>
                </c:pt>
              </c:strCache>
            </c:strRef>
          </c:cat>
          <c:val>
            <c:numRef>
              <c:f>диаг.3.23!$K$4:$O$4</c:f>
              <c:numCache>
                <c:formatCode>General</c:formatCode>
                <c:ptCount val="5"/>
                <c:pt idx="0">
                  <c:v>260.60000000000002</c:v>
                </c:pt>
                <c:pt idx="1">
                  <c:v>262.89999999999969</c:v>
                </c:pt>
                <c:pt idx="2" formatCode="0.0">
                  <c:v>281.98899999999907</c:v>
                </c:pt>
                <c:pt idx="3">
                  <c:v>267</c:v>
                </c:pt>
                <c:pt idx="4" formatCode="0.0">
                  <c:v>304.50799999999964</c:v>
                </c:pt>
              </c:numCache>
            </c:numRef>
          </c:val>
          <c:extLst>
            <c:ext xmlns:c16="http://schemas.microsoft.com/office/drawing/2014/chart" uri="{C3380CC4-5D6E-409C-BE32-E72D297353CC}">
              <c16:uniqueId val="{00000001-CE06-4AB7-8F83-5C21B688EE79}"/>
            </c:ext>
          </c:extLst>
        </c:ser>
        <c:ser>
          <c:idx val="1"/>
          <c:order val="1"/>
          <c:tx>
            <c:strRef>
              <c:f>диаг.3.23!$A$5</c:f>
              <c:strCache>
                <c:ptCount val="1"/>
                <c:pt idx="0">
                  <c:v>факт, г/т нефти</c:v>
                </c:pt>
              </c:strCache>
            </c:strRef>
          </c:tx>
          <c:spPr>
            <a:solidFill>
              <a:schemeClr val="accent2"/>
            </a:solidFill>
            <a:ln w="12700">
              <a:solidFill>
                <a:srgbClr val="000000"/>
              </a:solidFill>
              <a:prstDash val="solid"/>
            </a:ln>
          </c:spPr>
          <c:invertIfNegative val="0"/>
          <c:dLbls>
            <c:dLbl>
              <c:idx val="9"/>
              <c:layout>
                <c:manualLayout>
                  <c:x val="1.0296010296010301E-2"/>
                  <c:y val="2.588996763754053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E06-4AB7-8F83-5C21B688EE79}"/>
                </c:ext>
              </c:extLst>
            </c:dLbl>
            <c:spPr>
              <a:noFill/>
              <a:ln>
                <a:noFill/>
              </a:ln>
              <a:effectLst/>
            </c:spPr>
            <c:txPr>
              <a:bodyPr/>
              <a:lstStyle/>
              <a:p>
                <a:pPr>
                  <a:defRPr sz="1000" b="1"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диаг.3.23!$K$3:$O$3</c:f>
              <c:strCache>
                <c:ptCount val="5"/>
                <c:pt idx="0">
                  <c:v>2013г</c:v>
                </c:pt>
                <c:pt idx="1">
                  <c:v>2014г</c:v>
                </c:pt>
                <c:pt idx="2">
                  <c:v>2015г</c:v>
                </c:pt>
                <c:pt idx="3">
                  <c:v>2016г</c:v>
                </c:pt>
                <c:pt idx="4">
                  <c:v>2017г</c:v>
                </c:pt>
              </c:strCache>
            </c:strRef>
          </c:cat>
          <c:val>
            <c:numRef>
              <c:f>диаг.3.23!$K$5:$O$5</c:f>
              <c:numCache>
                <c:formatCode>General</c:formatCode>
                <c:ptCount val="5"/>
                <c:pt idx="0">
                  <c:v>260.39999999999969</c:v>
                </c:pt>
                <c:pt idx="1">
                  <c:v>254.7</c:v>
                </c:pt>
                <c:pt idx="2" formatCode="0.0">
                  <c:v>258.12</c:v>
                </c:pt>
                <c:pt idx="3">
                  <c:v>259.3</c:v>
                </c:pt>
                <c:pt idx="4" formatCode="0.0">
                  <c:v>277.67</c:v>
                </c:pt>
              </c:numCache>
            </c:numRef>
          </c:val>
          <c:extLst>
            <c:ext xmlns:c16="http://schemas.microsoft.com/office/drawing/2014/chart" uri="{C3380CC4-5D6E-409C-BE32-E72D297353CC}">
              <c16:uniqueId val="{00000003-CE06-4AB7-8F83-5C21B688EE79}"/>
            </c:ext>
          </c:extLst>
        </c:ser>
        <c:dLbls>
          <c:showLegendKey val="0"/>
          <c:showVal val="0"/>
          <c:showCatName val="0"/>
          <c:showSerName val="0"/>
          <c:showPercent val="0"/>
          <c:showBubbleSize val="0"/>
        </c:dLbls>
        <c:gapWidth val="75"/>
        <c:axId val="138296704"/>
        <c:axId val="139920512"/>
      </c:barChart>
      <c:catAx>
        <c:axId val="138296704"/>
        <c:scaling>
          <c:orientation val="minMax"/>
        </c:scaling>
        <c:delete val="0"/>
        <c:axPos val="b"/>
        <c:numFmt formatCode="General" sourceLinked="1"/>
        <c:majorTickMark val="none"/>
        <c:minorTickMark val="none"/>
        <c:tickLblPos val="low"/>
        <c:spPr>
          <a:ln w="3175">
            <a:solidFill>
              <a:srgbClr val="000000"/>
            </a:solidFill>
            <a:prstDash val="solid"/>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9920512"/>
        <c:crosses val="autoZero"/>
        <c:auto val="1"/>
        <c:lblAlgn val="ctr"/>
        <c:lblOffset val="100"/>
        <c:noMultiLvlLbl val="0"/>
      </c:catAx>
      <c:valAx>
        <c:axId val="139920512"/>
        <c:scaling>
          <c:orientation val="minMax"/>
        </c:scaling>
        <c:delete val="0"/>
        <c:axPos val="l"/>
        <c:numFmt formatCode="General" sourceLinked="1"/>
        <c:majorTickMark val="none"/>
        <c:minorTickMark val="none"/>
        <c:tickLblPos val="nextTo"/>
        <c:spPr>
          <a:ln w="25400">
            <a:noFill/>
          </a:ln>
        </c:spPr>
        <c:txPr>
          <a:bodyPr rot="0" vert="horz"/>
          <a:lstStyle/>
          <a:p>
            <a:pPr>
              <a:defRPr sz="1000" b="0" i="0" u="none" strike="noStrike" baseline="0">
                <a:solidFill>
                  <a:srgbClr val="000000"/>
                </a:solidFill>
                <a:latin typeface="Times New Roman"/>
                <a:ea typeface="Times New Roman"/>
                <a:cs typeface="Times New Roman"/>
              </a:defRPr>
            </a:pPr>
            <a:endParaRPr lang="ru-RU"/>
          </a:p>
        </c:txPr>
        <c:crossAx val="138296704"/>
        <c:crosses val="autoZero"/>
        <c:crossBetween val="between"/>
      </c:valAx>
      <c:spPr>
        <a:noFill/>
        <a:ln w="12700">
          <a:solidFill>
            <a:srgbClr val="808080"/>
          </a:solidFill>
          <a:prstDash val="solid"/>
        </a:ln>
      </c:spPr>
    </c:plotArea>
    <c:legend>
      <c:legendPos val="b"/>
      <c:overlay val="0"/>
      <c:spPr>
        <a:solidFill>
          <a:srgbClr val="FFFFFF"/>
        </a:solidFill>
        <a:ln w="3175">
          <a:solidFill>
            <a:srgbClr val="000000"/>
          </a:solidFill>
          <a:prstDash val="solid"/>
        </a:ln>
      </c:spPr>
      <c:txPr>
        <a:bodyPr/>
        <a:lstStyle/>
        <a:p>
          <a:pPr>
            <a:defRPr sz="775"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solidFill>
      <a:srgbClr val="FFFFFF"/>
    </a:solidFill>
    <a:ln w="3175">
      <a:solidFill>
        <a:srgbClr val="000000"/>
      </a:solidFill>
      <a:prstDash val="solid"/>
    </a:ln>
  </c:spPr>
  <c:txPr>
    <a:bodyPr/>
    <a:lstStyle/>
    <a:p>
      <a:pPr>
        <a:defRPr sz="1300" b="0" i="0" u="none" strike="noStrike" baseline="0">
          <a:solidFill>
            <a:srgbClr val="000000"/>
          </a:solidFill>
          <a:latin typeface="Times New Roman"/>
          <a:ea typeface="Times New Roman"/>
          <a:cs typeface="Times New Roman"/>
        </a:defRPr>
      </a:pPr>
      <a:endParaRPr lang="ru-RU"/>
    </a:p>
  </c:txPr>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100" b="1" i="0" u="none" strike="noStrike" baseline="0">
                <a:solidFill>
                  <a:srgbClr val="000000"/>
                </a:solidFill>
                <a:latin typeface="Times New Roman"/>
                <a:ea typeface="Times New Roman"/>
                <a:cs typeface="Times New Roman"/>
              </a:defRPr>
            </a:pPr>
            <a:r>
              <a:rPr lang="ru-RU"/>
              <a:t>Состояние ПЗ в НГДУ "Джалильнефть"  на 01.01.2018г</a:t>
            </a:r>
          </a:p>
        </c:rich>
      </c:tx>
      <c:overlay val="0"/>
    </c:title>
    <c:autoTitleDeleted val="0"/>
    <c:plotArea>
      <c:layout/>
      <c:barChart>
        <c:barDir val="col"/>
        <c:grouping val="clustered"/>
        <c:varyColors val="0"/>
        <c:ser>
          <c:idx val="0"/>
          <c:order val="0"/>
          <c:tx>
            <c:strRef>
              <c:f>диаг.3.25!$A$2</c:f>
              <c:strCache>
                <c:ptCount val="1"/>
                <c:pt idx="0">
                  <c:v>построено ПЗ</c:v>
                </c:pt>
              </c:strCache>
            </c:strRef>
          </c:tx>
          <c:invertIfNegative val="0"/>
          <c:dLbls>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диаг.3.25!$M$1:$Q$1</c:f>
              <c:strCache>
                <c:ptCount val="5"/>
                <c:pt idx="0">
                  <c:v>2013г</c:v>
                </c:pt>
                <c:pt idx="1">
                  <c:v>2014г</c:v>
                </c:pt>
                <c:pt idx="2">
                  <c:v>2015г</c:v>
                </c:pt>
                <c:pt idx="3">
                  <c:v>2016г</c:v>
                </c:pt>
                <c:pt idx="4">
                  <c:v>2017г</c:v>
                </c:pt>
              </c:strCache>
            </c:strRef>
          </c:cat>
          <c:val>
            <c:numRef>
              <c:f>диаг.3.25!$M$2:$Q$2</c:f>
              <c:numCache>
                <c:formatCode>General</c:formatCode>
                <c:ptCount val="5"/>
                <c:pt idx="0">
                  <c:v>2656.65</c:v>
                </c:pt>
                <c:pt idx="1">
                  <c:v>2725.7449999999953</c:v>
                </c:pt>
                <c:pt idx="2">
                  <c:v>2788.2869999999948</c:v>
                </c:pt>
                <c:pt idx="3">
                  <c:v>2630.4530000000022</c:v>
                </c:pt>
                <c:pt idx="4">
                  <c:v>2708.9479999999999</c:v>
                </c:pt>
              </c:numCache>
            </c:numRef>
          </c:val>
          <c:extLst>
            <c:ext xmlns:c16="http://schemas.microsoft.com/office/drawing/2014/chart" uri="{C3380CC4-5D6E-409C-BE32-E72D297353CC}">
              <c16:uniqueId val="{00000000-9500-4B2C-BDAE-7422F0988125}"/>
            </c:ext>
          </c:extLst>
        </c:ser>
        <c:ser>
          <c:idx val="1"/>
          <c:order val="1"/>
          <c:tx>
            <c:strRef>
              <c:f>диаг.3.25!$A$3</c:f>
              <c:strCache>
                <c:ptCount val="1"/>
                <c:pt idx="0">
                  <c:v>действует ПЗ</c:v>
                </c:pt>
              </c:strCache>
            </c:strRef>
          </c:tx>
          <c:invertIfNegative val="0"/>
          <c:dLbls>
            <c:dLbl>
              <c:idx val="0"/>
              <c:layout>
                <c:manualLayout>
                  <c:x val="1.1681268251981645E-2"/>
                  <c:y val="1.09121942579263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00-4B2C-BDAE-7422F0988125}"/>
                </c:ext>
              </c:extLst>
            </c:dLbl>
            <c:dLbl>
              <c:idx val="1"/>
              <c:layout>
                <c:manualLayout>
                  <c:x val="1.1681268251981645E-2"/>
                  <c:y val="1.09177763822466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500-4B2C-BDAE-7422F0988125}"/>
                </c:ext>
              </c:extLst>
            </c:dLbl>
            <c:dLbl>
              <c:idx val="2"/>
              <c:layout>
                <c:manualLayout>
                  <c:x val="1.0012515644555724E-2"/>
                  <c:y val="1.910331760677155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00-4B2C-BDAE-7422F0988125}"/>
                </c:ext>
              </c:extLst>
            </c:dLbl>
            <c:dLbl>
              <c:idx val="3"/>
              <c:layout>
                <c:manualLayout>
                  <c:x val="1.6687526074259502E-2"/>
                  <c:y val="1.366396685076942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500-4B2C-BDAE-7422F0988125}"/>
                </c:ext>
              </c:extLst>
            </c:dLbl>
            <c:dLbl>
              <c:idx val="4"/>
              <c:layout>
                <c:manualLayout>
                  <c:x val="2.00250312891114E-2"/>
                  <c:y val="1.36360562291677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00-4B2C-BDAE-7422F0988125}"/>
                </c:ext>
              </c:extLst>
            </c:dLbl>
            <c:dLbl>
              <c:idx val="5"/>
              <c:layout>
                <c:manualLayout>
                  <c:x val="2.00250312891114E-2"/>
                  <c:y val="1.637945563553029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500-4B2C-BDAE-7422F0988125}"/>
                </c:ext>
              </c:extLst>
            </c:dLbl>
            <c:dLbl>
              <c:idx val="6"/>
              <c:layout>
                <c:manualLayout>
                  <c:x val="9.9172522083050291E-3"/>
                  <c:y val="1.093452275520776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500-4B2C-BDAE-7422F0988125}"/>
                </c:ext>
              </c:extLst>
            </c:dLbl>
            <c:dLbl>
              <c:idx val="7"/>
              <c:layout>
                <c:manualLayout>
                  <c:x val="4.1718815185648732E-2"/>
                  <c:y val="3.275053808458000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500-4B2C-BDAE-7422F0988125}"/>
                </c:ext>
              </c:extLst>
            </c:dLbl>
            <c:dLbl>
              <c:idx val="8"/>
              <c:layout>
                <c:manualLayout>
                  <c:x val="4.5056320400500706E-2"/>
                  <c:y val="4.635310156782549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500-4B2C-BDAE-7422F0988125}"/>
                </c:ext>
              </c:extLst>
            </c:dLbl>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диаг.3.25!$M$1:$Q$1</c:f>
              <c:strCache>
                <c:ptCount val="5"/>
                <c:pt idx="0">
                  <c:v>2013г</c:v>
                </c:pt>
                <c:pt idx="1">
                  <c:v>2014г</c:v>
                </c:pt>
                <c:pt idx="2">
                  <c:v>2015г</c:v>
                </c:pt>
                <c:pt idx="3">
                  <c:v>2016г</c:v>
                </c:pt>
                <c:pt idx="4">
                  <c:v>2017г</c:v>
                </c:pt>
              </c:strCache>
            </c:strRef>
          </c:cat>
          <c:val>
            <c:numRef>
              <c:f>диаг.3.25!$M$3:$Q$3</c:f>
              <c:numCache>
                <c:formatCode>General</c:formatCode>
                <c:ptCount val="5"/>
                <c:pt idx="0">
                  <c:v>2656.65</c:v>
                </c:pt>
                <c:pt idx="1">
                  <c:v>2725.7449999999953</c:v>
                </c:pt>
                <c:pt idx="2">
                  <c:v>2782.1370000000002</c:v>
                </c:pt>
                <c:pt idx="3">
                  <c:v>2582.8620000000001</c:v>
                </c:pt>
                <c:pt idx="4">
                  <c:v>2657.9669999999987</c:v>
                </c:pt>
              </c:numCache>
            </c:numRef>
          </c:val>
          <c:extLst>
            <c:ext xmlns:c16="http://schemas.microsoft.com/office/drawing/2014/chart" uri="{C3380CC4-5D6E-409C-BE32-E72D297353CC}">
              <c16:uniqueId val="{0000000A-9500-4B2C-BDAE-7422F0988125}"/>
            </c:ext>
          </c:extLst>
        </c:ser>
        <c:ser>
          <c:idx val="2"/>
          <c:order val="2"/>
          <c:tx>
            <c:strRef>
              <c:f>диаг.3.25!$A$4</c:f>
              <c:strCache>
                <c:ptCount val="1"/>
                <c:pt idx="0">
                  <c:v>необходим кап. ремонт</c:v>
                </c:pt>
              </c:strCache>
            </c:strRef>
          </c:tx>
          <c:invertIfNegative val="0"/>
          <c:dLbls>
            <c:spPr>
              <a:noFill/>
              <a:ln>
                <a:noFill/>
              </a:ln>
              <a:effectLst/>
            </c:spPr>
            <c:txPr>
              <a:bodyPr/>
              <a:lstStyle/>
              <a:p>
                <a:pPr>
                  <a:defRPr sz="1000" b="0" i="0" u="none" strike="noStrike" baseline="0">
                    <a:solidFill>
                      <a:srgbClr val="000000"/>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диаг.3.25!$M$1:$Q$1</c:f>
              <c:strCache>
                <c:ptCount val="5"/>
                <c:pt idx="0">
                  <c:v>2013г</c:v>
                </c:pt>
                <c:pt idx="1">
                  <c:v>2014г</c:v>
                </c:pt>
                <c:pt idx="2">
                  <c:v>2015г</c:v>
                </c:pt>
                <c:pt idx="3">
                  <c:v>2016г</c:v>
                </c:pt>
                <c:pt idx="4">
                  <c:v>2017г</c:v>
                </c:pt>
              </c:strCache>
            </c:strRef>
          </c:cat>
          <c:val>
            <c:numRef>
              <c:f>диаг.3.25!$M$4:$Q$4</c:f>
              <c:numCache>
                <c:formatCode>General</c:formatCode>
                <c:ptCount val="5"/>
                <c:pt idx="0">
                  <c:v>0</c:v>
                </c:pt>
                <c:pt idx="1">
                  <c:v>0</c:v>
                </c:pt>
                <c:pt idx="2">
                  <c:v>6.1499999999999995</c:v>
                </c:pt>
                <c:pt idx="3">
                  <c:v>47.591000000000001</c:v>
                </c:pt>
                <c:pt idx="4">
                  <c:v>50.980999999999995</c:v>
                </c:pt>
              </c:numCache>
            </c:numRef>
          </c:val>
          <c:extLst>
            <c:ext xmlns:c16="http://schemas.microsoft.com/office/drawing/2014/chart" uri="{C3380CC4-5D6E-409C-BE32-E72D297353CC}">
              <c16:uniqueId val="{0000000B-9500-4B2C-BDAE-7422F0988125}"/>
            </c:ext>
          </c:extLst>
        </c:ser>
        <c:dLbls>
          <c:showLegendKey val="0"/>
          <c:showVal val="0"/>
          <c:showCatName val="0"/>
          <c:showSerName val="0"/>
          <c:showPercent val="0"/>
          <c:showBubbleSize val="0"/>
        </c:dLbls>
        <c:gapWidth val="75"/>
        <c:overlap val="-25"/>
        <c:axId val="139951104"/>
        <c:axId val="139973376"/>
      </c:barChart>
      <c:catAx>
        <c:axId val="139951104"/>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139973376"/>
        <c:crosses val="autoZero"/>
        <c:auto val="1"/>
        <c:lblAlgn val="ctr"/>
        <c:lblOffset val="100"/>
        <c:noMultiLvlLbl val="0"/>
      </c:catAx>
      <c:valAx>
        <c:axId val="139973376"/>
        <c:scaling>
          <c:orientation val="minMax"/>
        </c:scaling>
        <c:delete val="0"/>
        <c:axPos val="l"/>
        <c:numFmt formatCode="General" sourceLinked="1"/>
        <c:majorTickMark val="none"/>
        <c:minorTickMark val="none"/>
        <c:tickLblPos val="nextTo"/>
        <c:spPr>
          <a:ln w="9525">
            <a:noFill/>
          </a:ln>
        </c:spPr>
        <c:txPr>
          <a:bodyPr rot="0" vert="horz"/>
          <a:lstStyle/>
          <a:p>
            <a:pPr>
              <a:defRPr sz="1000" b="0" i="0" u="none" strike="noStrike" baseline="0">
                <a:solidFill>
                  <a:srgbClr val="000000"/>
                </a:solidFill>
                <a:latin typeface="Calibri"/>
                <a:ea typeface="Calibri"/>
                <a:cs typeface="Calibri"/>
              </a:defRPr>
            </a:pPr>
            <a:endParaRPr lang="ru-RU"/>
          </a:p>
        </c:txPr>
        <c:crossAx val="139951104"/>
        <c:crosses val="autoZero"/>
        <c:crossBetween val="between"/>
      </c:valAx>
    </c:plotArea>
    <c:legend>
      <c:legendPos val="b"/>
      <c:overlay val="0"/>
      <c:txPr>
        <a:bodyPr/>
        <a:lstStyle/>
        <a:p>
          <a:pPr>
            <a:defRPr sz="710" b="0" i="0" u="none" strike="noStrike" baseline="0">
              <a:solidFill>
                <a:srgbClr val="000000"/>
              </a:solidFill>
              <a:latin typeface="Calibri"/>
              <a:ea typeface="Calibri"/>
              <a:cs typeface="Calibri"/>
            </a:defRPr>
          </a:pPr>
          <a:endParaRPr lang="ru-RU"/>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0.8</cdr:x>
      <cdr:y>0.11111</cdr:y>
    </cdr:from>
    <cdr:to>
      <cdr:x>1</cdr:x>
      <cdr:y>0.44444</cdr:y>
    </cdr:to>
    <cdr:sp macro="" textlink="">
      <cdr:nvSpPr>
        <cdr:cNvPr id="2" name="TextBox 1"/>
        <cdr:cNvSpPr txBox="1"/>
      </cdr:nvSpPr>
      <cdr:spPr>
        <a:xfrm xmlns:a="http://schemas.openxmlformats.org/drawingml/2006/main">
          <a:off x="4338638" y="304800"/>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userShapes>
</file>

<file path=word/drawings/drawing2.xml><?xml version="1.0" encoding="utf-8"?>
<c:userShapes xmlns:c="http://schemas.openxmlformats.org/drawingml/2006/chart">
  <cdr:relSizeAnchor xmlns:cdr="http://schemas.openxmlformats.org/drawingml/2006/chartDrawing">
    <cdr:from>
      <cdr:x>0.29795</cdr:x>
      <cdr:y>0.01356</cdr:y>
    </cdr:from>
    <cdr:to>
      <cdr:x>0.74789</cdr:x>
      <cdr:y>0.0955</cdr:y>
    </cdr:to>
    <cdr:sp macro="" textlink="">
      <cdr:nvSpPr>
        <cdr:cNvPr id="2" name="TextBox 1"/>
        <cdr:cNvSpPr txBox="1"/>
      </cdr:nvSpPr>
      <cdr:spPr>
        <a:xfrm xmlns:a="http://schemas.openxmlformats.org/drawingml/2006/main">
          <a:off x="1835484" y="43280"/>
          <a:ext cx="2771800" cy="26152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pPr algn="ctr"/>
          <a:r>
            <a:rPr lang="ru-RU" sz="1200" b="1">
              <a:latin typeface="Times New Roman" pitchFamily="18" charset="0"/>
              <a:cs typeface="Times New Roman" pitchFamily="18" charset="0"/>
            </a:rPr>
            <a:t>Применение ингибиторов коррозии за 2017год</a:t>
          </a:r>
        </a:p>
      </cdr:txBody>
    </cdr:sp>
  </cdr:relSizeAnchor>
  <cdr:relSizeAnchor xmlns:cdr="http://schemas.openxmlformats.org/drawingml/2006/chartDrawing">
    <cdr:from>
      <cdr:x>0.05067</cdr:x>
      <cdr:y>0.9322</cdr:y>
    </cdr:from>
    <cdr:to>
      <cdr:x>0.34333</cdr:x>
      <cdr:y>1</cdr:y>
    </cdr:to>
    <cdr:sp macro="" textlink="">
      <cdr:nvSpPr>
        <cdr:cNvPr id="4" name="TextBox 3"/>
        <cdr:cNvSpPr txBox="1"/>
      </cdr:nvSpPr>
      <cdr:spPr>
        <a:xfrm xmlns:a="http://schemas.openxmlformats.org/drawingml/2006/main">
          <a:off x="466725" y="5238750"/>
          <a:ext cx="2695575" cy="3810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A34720-BD61-45D2-BCCD-5F8A15660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Pages>
  <Words>6707</Words>
  <Characters>38231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Райхан Зиннуровна</dc:creator>
  <cp:keywords/>
  <dc:description/>
  <cp:lastModifiedBy>Ляйсан</cp:lastModifiedBy>
  <cp:revision>47</cp:revision>
  <cp:lastPrinted>2018-03-22T19:13:00Z</cp:lastPrinted>
  <dcterms:created xsi:type="dcterms:W3CDTF">2018-03-21T13:22:00Z</dcterms:created>
  <dcterms:modified xsi:type="dcterms:W3CDTF">2024-10-18T13:09:00Z</dcterms:modified>
</cp:coreProperties>
</file>