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6CE" w:rsidRPr="00256276" w:rsidRDefault="00044482" w:rsidP="0025627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Мастер – класс</w:t>
      </w:r>
    </w:p>
    <w:p w:rsidR="00044482" w:rsidRPr="00256276" w:rsidRDefault="00044482" w:rsidP="00256276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«Формирование естественнонаучной грамотности на уроках физики»</w:t>
      </w:r>
    </w:p>
    <w:p w:rsidR="00044482" w:rsidRPr="00256276" w:rsidRDefault="00044482" w:rsidP="0025627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6276">
        <w:rPr>
          <w:rFonts w:ascii="Times New Roman" w:hAnsi="Times New Roman" w:cs="Times New Roman"/>
          <w:b/>
          <w:i/>
          <w:iCs/>
          <w:sz w:val="28"/>
          <w:szCs w:val="28"/>
        </w:rPr>
        <w:t>«Мои ученики будут узнавать новое не от меня; они будут открывать это новое сами. Моя задача- помочь им раскрыться и развить собственные идеи»</w:t>
      </w:r>
    </w:p>
    <w:p w:rsidR="00044482" w:rsidRPr="00256276" w:rsidRDefault="00044482" w:rsidP="00256276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256276">
        <w:rPr>
          <w:rFonts w:ascii="Times New Roman" w:hAnsi="Times New Roman" w:cs="Times New Roman"/>
          <w:b/>
          <w:i/>
          <w:iCs/>
          <w:sz w:val="28"/>
          <w:szCs w:val="28"/>
        </w:rPr>
        <w:t>И.Г.Песталоцци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Естественнонаучная грамотность – один из элементов функциональной грамотности.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В исследовании PISA в качестве основных содержательных составляющих функциональной грамотности выделены шесть:</w:t>
      </w:r>
    </w:p>
    <w:p w:rsidR="001709BE" w:rsidRPr="00256276" w:rsidRDefault="0012520E" w:rsidP="002562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математическая грамотность;</w:t>
      </w:r>
    </w:p>
    <w:p w:rsidR="001709BE" w:rsidRPr="00256276" w:rsidRDefault="0012520E" w:rsidP="002562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читательская грамотность;</w:t>
      </w:r>
    </w:p>
    <w:p w:rsidR="001709BE" w:rsidRPr="00256276" w:rsidRDefault="0012520E" w:rsidP="002562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естественнонаучная грамотность;</w:t>
      </w:r>
    </w:p>
    <w:p w:rsidR="001709BE" w:rsidRPr="00256276" w:rsidRDefault="0012520E" w:rsidP="002562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финансовая грамотность;</w:t>
      </w:r>
    </w:p>
    <w:p w:rsidR="001709BE" w:rsidRPr="00256276" w:rsidRDefault="0012520E" w:rsidP="002562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глобальные компетенции;</w:t>
      </w:r>
    </w:p>
    <w:p w:rsidR="001709BE" w:rsidRPr="00256276" w:rsidRDefault="0012520E" w:rsidP="0025627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256276">
        <w:rPr>
          <w:rFonts w:ascii="Times New Roman" w:hAnsi="Times New Roman" w:cs="Times New Roman"/>
          <w:sz w:val="28"/>
          <w:szCs w:val="28"/>
        </w:rPr>
        <w:t>креативное</w:t>
      </w:r>
      <w:proofErr w:type="spellEnd"/>
      <w:r w:rsidRPr="00256276">
        <w:rPr>
          <w:rFonts w:ascii="Times New Roman" w:hAnsi="Times New Roman" w:cs="Times New Roman"/>
          <w:sz w:val="28"/>
          <w:szCs w:val="28"/>
        </w:rPr>
        <w:t xml:space="preserve"> мышление. 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 xml:space="preserve">Естественнонаучная грамотность отражает способность человека применять естественнонаучные знания и умения в реальных жизненных ситуациях, связанных с практическими применениями. 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 xml:space="preserve">Перед нами и перед образованием в целом стоит задача повышения уровня естественнонаучной грамотности обучающихся в области естественнонаучного образования. Эта необходимость  вытекает также из майских (2018 г.) указов Президента Российской Федерации, согласно которым наша страна к 2024 г. должна войти в десятку ведущих стран мира, лидирующих по качеству общего образования. Министерство просвещения РФ разработало инновационный проект «Мониторинг формирования и оценки функциональной грамотности». Мониторинг может проводить каждый учитель, например, на сайте Российской электронной школы в разделе функциональная грамотность. 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 xml:space="preserve">Я же сегодня расскажу вам как можно внедрить естественнонаучную грамотность на уроках физики. 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lastRenderedPageBreak/>
        <w:t>Предметная область физики пересекается с областями других наук, что делает ее изучение сложным для большой категории обучающихся.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 xml:space="preserve">Поэтому для достижения высоких результатов необходимо, чтобы в учебной деятельности был реализован комплексный подход, чтобы процесс обучения шел как процесс решения обучающимися различных учебно-познавательных и учебно-практических задач, задач на применение или перенос знаний и умений, которые формирует учитель. 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 xml:space="preserve">Такими задачами служат ситуационные задачи. </w:t>
      </w:r>
    </w:p>
    <w:p w:rsidR="00044482" w:rsidRPr="00256276" w:rsidRDefault="00044482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i/>
          <w:iCs/>
          <w:sz w:val="28"/>
          <w:szCs w:val="28"/>
        </w:rPr>
        <w:t>Ситуационные задачи</w:t>
      </w:r>
      <w:r w:rsidRPr="00256276">
        <w:rPr>
          <w:rFonts w:ascii="Times New Roman" w:hAnsi="Times New Roman" w:cs="Times New Roman"/>
          <w:sz w:val="28"/>
          <w:szCs w:val="28"/>
        </w:rPr>
        <w:t> - это задачи, позволяющие обучающимся  осваивать </w:t>
      </w:r>
      <w:r w:rsidRPr="00256276">
        <w:rPr>
          <w:rFonts w:ascii="Times New Roman" w:hAnsi="Times New Roman" w:cs="Times New Roman"/>
          <w:i/>
          <w:iCs/>
          <w:sz w:val="28"/>
          <w:szCs w:val="28"/>
        </w:rPr>
        <w:t>интеллектуальные операции </w:t>
      </w:r>
      <w:r w:rsidRPr="00256276">
        <w:rPr>
          <w:rFonts w:ascii="Times New Roman" w:hAnsi="Times New Roman" w:cs="Times New Roman"/>
          <w:sz w:val="28"/>
          <w:szCs w:val="28"/>
        </w:rPr>
        <w:t>последовательно в процессе работы с информацией.</w:t>
      </w:r>
    </w:p>
    <w:p w:rsidR="00044482" w:rsidRPr="00256276" w:rsidRDefault="00256276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937221" cy="1250831"/>
            <wp:effectExtent l="19050" t="0" r="0" b="0"/>
            <wp:docPr id="1" name="Объект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001056" cy="2071702"/>
                      <a:chOff x="285720" y="3929066"/>
                      <a:chExt cx="8001056" cy="2071702"/>
                    </a:xfrm>
                  </a:grpSpPr>
                  <a:sp>
                    <a:nvSpPr>
                      <a:cNvPr id="12" name="Прямоугольник 11"/>
                      <a:cNvSpPr/>
                    </a:nvSpPr>
                    <a:spPr>
                      <a:xfrm>
                        <a:off x="285720" y="3929066"/>
                        <a:ext cx="1857388" cy="85725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000" b="1" dirty="0" smtClean="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Ознакомление</a:t>
                          </a:r>
                          <a:endParaRPr lang="ru-RU" sz="2000" b="1" dirty="0">
                            <a:solidFill>
                              <a:schemeClr val="tx1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3" name="Picture 6" descr="O_chevron001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>
                        <a:lum bright="6000" contrast="42000"/>
                        <a:grayscl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357422" y="4060833"/>
                        <a:ext cx="517525" cy="582613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4" name="Прямоугольник 13"/>
                      <a:cNvSpPr/>
                    </a:nvSpPr>
                    <a:spPr>
                      <a:xfrm>
                        <a:off x="2982905" y="3929066"/>
                        <a:ext cx="1857388" cy="85725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000" b="1" dirty="0" smtClean="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Понимание</a:t>
                          </a:r>
                          <a:endParaRPr lang="ru-RU" sz="2000" b="1" dirty="0">
                            <a:solidFill>
                              <a:schemeClr val="tx1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5" name="Picture 6" descr="O_chevron001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>
                        <a:lum bright="6000" contrast="42000"/>
                        <a:grayscl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054607" y="4060833"/>
                        <a:ext cx="517525" cy="582613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6" name="Прямоугольник 15"/>
                      <a:cNvSpPr/>
                    </a:nvSpPr>
                    <a:spPr>
                      <a:xfrm>
                        <a:off x="5697549" y="3929066"/>
                        <a:ext cx="1857388" cy="85725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000" b="1" dirty="0" smtClean="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Применение</a:t>
                          </a:r>
                          <a:endParaRPr lang="ru-RU" sz="2000" b="1" dirty="0">
                            <a:solidFill>
                              <a:schemeClr val="tx1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7" name="Picture 6" descr="O_chevron001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>
                        <a:lum bright="6000" contrast="42000"/>
                        <a:grayscl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7769251" y="4060833"/>
                        <a:ext cx="517525" cy="582613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18" name="Прямоугольник 17"/>
                      <a:cNvSpPr/>
                    </a:nvSpPr>
                    <a:spPr>
                      <a:xfrm>
                        <a:off x="1000100" y="5143512"/>
                        <a:ext cx="1857388" cy="85725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000" b="1" dirty="0" smtClean="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Анализ</a:t>
                          </a:r>
                          <a:endParaRPr lang="ru-RU" sz="2000" b="1" dirty="0">
                            <a:solidFill>
                              <a:schemeClr val="tx1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19" name="Picture 6" descr="O_chevron001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>
                        <a:lum bright="6000" contrast="42000"/>
                        <a:grayscl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3071802" y="5275279"/>
                        <a:ext cx="517525" cy="582613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0" name="Прямоугольник 19"/>
                      <a:cNvSpPr/>
                    </a:nvSpPr>
                    <a:spPr>
                      <a:xfrm>
                        <a:off x="3697285" y="5143512"/>
                        <a:ext cx="1857388" cy="85725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000" b="1" dirty="0" smtClean="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Синтез</a:t>
                          </a:r>
                          <a:endParaRPr lang="ru-RU" sz="2000" b="1" dirty="0">
                            <a:solidFill>
                              <a:schemeClr val="tx1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21" name="Picture 6" descr="O_chevron001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>
                        <a:lum bright="6000" contrast="42000"/>
                        <a:grayscl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5768987" y="5275279"/>
                        <a:ext cx="517525" cy="582613"/>
                      </a:xfrm>
                      <a:prstGeom prst="rect">
                        <a:avLst/>
                      </a:prstGeom>
                      <a:noFill/>
                    </a:spPr>
                  </a:pic>
                  <a:sp>
                    <a:nvSpPr>
                      <a:cNvPr id="22" name="Прямоугольник 21"/>
                      <a:cNvSpPr/>
                    </a:nvSpPr>
                    <a:spPr>
                      <a:xfrm>
                        <a:off x="6429388" y="5143512"/>
                        <a:ext cx="1857388" cy="857256"/>
                      </a:xfrm>
                      <a:prstGeom prst="rect">
                        <a:avLst/>
                      </a:prstGeom>
                    </a:spPr>
                    <a:txSp>
                      <a:txBody>
                        <a:bodyPr rtlCol="0" anchor="ctr"/>
                        <a:lstStyle>
                          <a:defPPr>
                            <a:defRPr lang="ru-RU"/>
                          </a:defPPr>
                          <a:lvl1pPr marL="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1pPr>
                          <a:lvl2pPr marL="457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2pPr>
                          <a:lvl3pPr marL="914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3pPr>
                          <a:lvl4pPr marL="1371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4pPr>
                          <a:lvl5pPr marL="18288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5pPr>
                          <a:lvl6pPr marL="22860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6pPr>
                          <a:lvl7pPr marL="27432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7pPr>
                          <a:lvl8pPr marL="32004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8pPr>
                          <a:lvl9pPr marL="3657600" algn="l" defTabSz="914400" rtl="0" eaLnBrk="1" latinLnBrk="0" hangingPunct="1">
                            <a:defRPr sz="1800" kern="1200">
                              <a:solidFill>
                                <a:schemeClr val="lt1"/>
                              </a:solidFill>
                              <a:latin typeface="+mn-lt"/>
                              <a:ea typeface="+mn-ea"/>
                              <a:cs typeface="+mn-cs"/>
                            </a:defRPr>
                          </a:lvl9pPr>
                        </a:lstStyle>
                        <a:p>
                          <a:pPr algn="ctr"/>
                          <a:r>
                            <a:rPr lang="ru-RU" sz="2000" b="1" dirty="0" smtClean="0">
                              <a:solidFill>
                                <a:schemeClr val="tx1"/>
                              </a:solidFill>
                              <a:latin typeface="Times New Roman" pitchFamily="18" charset="0"/>
                              <a:cs typeface="Times New Roman" pitchFamily="18" charset="0"/>
                            </a:rPr>
                            <a:t>Оценка</a:t>
                          </a:r>
                          <a:endParaRPr lang="ru-RU" sz="2000" b="1" dirty="0">
                            <a:solidFill>
                              <a:schemeClr val="tx1"/>
                            </a:solidFill>
                            <a:latin typeface="Times New Roman" pitchFamily="18" charset="0"/>
                            <a:cs typeface="Times New Roman" pitchFamily="18" charset="0"/>
                          </a:endParaRPr>
                        </a:p>
                      </a:txBody>
                      <a:useSpRect/>
                    </a:txSp>
                    <a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a:style>
                  </a:sp>
                  <a:pic>
                    <a:nvPicPr>
                      <a:cNvPr id="24" name="Picture 6" descr="O_chevron001"/>
                      <a:cNvPicPr>
                        <a:picLocks noChangeAspect="1" noChangeArrowheads="1"/>
                      </a:cNvPicPr>
                    </a:nvPicPr>
                    <a:blipFill>
                      <a:blip r:embed="rId5" cstate="print">
                        <a:lum bright="6000" contrast="42000"/>
                        <a:grayscl/>
                      </a:blip>
                      <a:srcRect/>
                      <a:stretch>
                        <a:fillRect/>
                      </a:stretch>
                    </a:blipFill>
                    <a:spPr bwMode="auto">
                      <a:xfrm>
                        <a:off x="285720" y="5286388"/>
                        <a:ext cx="517525" cy="582613"/>
                      </a:xfrm>
                      <a:prstGeom prst="rect">
                        <a:avLst/>
                      </a:prstGeom>
                      <a:noFill/>
                    </a:spPr>
                  </a:pic>
                </lc:lockedCanvas>
              </a:graphicData>
            </a:graphic>
          </wp:inline>
        </w:drawing>
      </w:r>
    </w:p>
    <w:p w:rsidR="00256276" w:rsidRPr="00256276" w:rsidRDefault="00256276" w:rsidP="00256276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56276">
        <w:rPr>
          <w:rStyle w:val="c9"/>
          <w:color w:val="000000"/>
          <w:sz w:val="28"/>
          <w:szCs w:val="28"/>
        </w:rPr>
        <w:t>Решение многих </w:t>
      </w:r>
      <w:r w:rsidRPr="00256276">
        <w:rPr>
          <w:rStyle w:val="c5"/>
          <w:i/>
          <w:iCs/>
          <w:color w:val="000000"/>
          <w:sz w:val="28"/>
          <w:szCs w:val="28"/>
        </w:rPr>
        <w:t>ситуационных задач</w:t>
      </w:r>
      <w:r w:rsidRPr="00256276">
        <w:rPr>
          <w:rStyle w:val="c9"/>
          <w:color w:val="000000"/>
          <w:sz w:val="28"/>
          <w:szCs w:val="28"/>
        </w:rPr>
        <w:t> связано с анализом конкретных ситуаций, отражающих происходящие в обществе изменения. Эти ситуации могут быть новыми не только для учащихся, но и для учителя, что изменяет характер отношений между учителем и учеником. В обычной учебной практике учитель «знает», а ученики «не знают». При решении ситуационной задачи учитель и ученик выступают как равноправные партнеры, которые вместе учатся решать проблемы.</w:t>
      </w:r>
    </w:p>
    <w:p w:rsidR="00256276" w:rsidRPr="00256276" w:rsidRDefault="00256276" w:rsidP="00256276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56276">
        <w:rPr>
          <w:rStyle w:val="c9"/>
          <w:color w:val="000000"/>
          <w:sz w:val="28"/>
          <w:szCs w:val="28"/>
        </w:rPr>
        <w:t>Таким образом, </w:t>
      </w:r>
      <w:r w:rsidRPr="00256276">
        <w:rPr>
          <w:rStyle w:val="c5"/>
          <w:i/>
          <w:iCs/>
          <w:color w:val="000000"/>
          <w:sz w:val="28"/>
          <w:szCs w:val="28"/>
        </w:rPr>
        <w:t>возможности ситуационных задач состоят в способствовании изменению отношений учитель </w:t>
      </w:r>
      <w:r w:rsidRPr="00256276">
        <w:rPr>
          <w:rStyle w:val="c9"/>
          <w:color w:val="000000"/>
          <w:sz w:val="28"/>
          <w:szCs w:val="28"/>
        </w:rPr>
        <w:t>— </w:t>
      </w:r>
      <w:r w:rsidRPr="00256276">
        <w:rPr>
          <w:rStyle w:val="c5"/>
          <w:i/>
          <w:iCs/>
          <w:color w:val="000000"/>
          <w:sz w:val="28"/>
          <w:szCs w:val="28"/>
        </w:rPr>
        <w:t>ученик в направлении их равноправного взаимодействия, </w:t>
      </w:r>
      <w:r w:rsidRPr="00256276">
        <w:rPr>
          <w:rStyle w:val="c9"/>
          <w:color w:val="000000"/>
          <w:sz w:val="28"/>
          <w:szCs w:val="28"/>
        </w:rPr>
        <w:t>когда учитель выступает не как источник верного ответа, а как помогающий взрослый.</w:t>
      </w:r>
    </w:p>
    <w:p w:rsidR="00256276" w:rsidRPr="00256276" w:rsidRDefault="00256276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>В завершении хочу отметить, что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256276">
        <w:rPr>
          <w:rFonts w:ascii="Times New Roman" w:hAnsi="Times New Roman" w:cs="Times New Roman"/>
          <w:sz w:val="28"/>
          <w:szCs w:val="28"/>
        </w:rPr>
        <w:t>ешение </w:t>
      </w:r>
      <w:r w:rsidRPr="00256276">
        <w:rPr>
          <w:rFonts w:ascii="Times New Roman" w:hAnsi="Times New Roman" w:cs="Times New Roman"/>
          <w:i/>
          <w:iCs/>
          <w:sz w:val="28"/>
          <w:szCs w:val="28"/>
        </w:rPr>
        <w:t>ситуационных задач</w:t>
      </w:r>
      <w:r w:rsidRPr="00256276">
        <w:rPr>
          <w:rFonts w:ascii="Times New Roman" w:hAnsi="Times New Roman" w:cs="Times New Roman"/>
          <w:sz w:val="28"/>
          <w:szCs w:val="28"/>
        </w:rPr>
        <w:t xml:space="preserve"> способствует развитию навыков самоорганизации деятельности, формированию умения объяснять явления действительности, развитию способности ориентироваться в мире ценностей, повышению уровня </w:t>
      </w:r>
      <w:r w:rsidRPr="00256276">
        <w:rPr>
          <w:rFonts w:ascii="Times New Roman" w:hAnsi="Times New Roman" w:cs="Times New Roman"/>
          <w:sz w:val="28"/>
          <w:szCs w:val="28"/>
        </w:rPr>
        <w:lastRenderedPageBreak/>
        <w:t xml:space="preserve">функциональной грамотности, формированию ключевых компетентностей, подготовке к профессиональному выбору, ориентации в ключевых проблемах современной жизни. </w:t>
      </w:r>
    </w:p>
    <w:p w:rsidR="00256276" w:rsidRDefault="00256276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56276">
        <w:rPr>
          <w:rFonts w:ascii="Times New Roman" w:hAnsi="Times New Roman" w:cs="Times New Roman"/>
          <w:sz w:val="28"/>
          <w:szCs w:val="28"/>
        </w:rPr>
        <w:t xml:space="preserve">Предлагаю вам решить одну ситуационную задачу. </w:t>
      </w:r>
    </w:p>
    <w:p w:rsidR="00BC2734" w:rsidRPr="00BC2734" w:rsidRDefault="00BC2734" w:rsidP="00BC273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Задача 1 «</w:t>
      </w:r>
      <w:r w:rsidRPr="00BC273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Сопротивление воздуха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Осенним днём Петя вышел погулять. Накрапывал дождь, и Петя открыл зонтик. Вдруг подул сильный ветер и чуть не вырвал зонтик из рук. Петя едва смог притянуть его к себе. Заинтересовавшись этим вопросом, Петя, придя домой, стал искать информацию о силе, которая так сопротивлялась, когда Петя тянул зонтик на себя. </w:t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4028440</wp:posOffset>
            </wp:positionH>
            <wp:positionV relativeFrom="paragraph">
              <wp:posOffset>21590</wp:posOffset>
            </wp:positionV>
            <wp:extent cx="2180590" cy="1699260"/>
            <wp:effectExtent l="19050" t="0" r="0" b="0"/>
            <wp:wrapThrough wrapText="bothSides">
              <wp:wrapPolygon edited="0">
                <wp:start x="13775" y="0"/>
                <wp:lineTo x="8680" y="3874"/>
                <wp:lineTo x="7171" y="4359"/>
                <wp:lineTo x="6038" y="6054"/>
                <wp:lineTo x="6038" y="7749"/>
                <wp:lineTo x="189" y="9202"/>
                <wp:lineTo x="-189" y="10170"/>
                <wp:lineTo x="1887" y="15498"/>
                <wp:lineTo x="5284" y="19372"/>
                <wp:lineTo x="7171" y="21309"/>
                <wp:lineTo x="7359" y="21309"/>
                <wp:lineTo x="11699" y="21309"/>
                <wp:lineTo x="11888" y="21309"/>
                <wp:lineTo x="14153" y="19614"/>
                <wp:lineTo x="14153" y="19372"/>
                <wp:lineTo x="14341" y="19372"/>
                <wp:lineTo x="18115" y="15740"/>
                <wp:lineTo x="20002" y="11865"/>
                <wp:lineTo x="20002" y="11623"/>
                <wp:lineTo x="21512" y="7991"/>
                <wp:lineTo x="21512" y="2179"/>
                <wp:lineTo x="19436" y="242"/>
                <wp:lineTo x="17172" y="0"/>
                <wp:lineTo x="13775" y="0"/>
              </wp:wrapPolygon>
            </wp:wrapThrough>
            <wp:docPr id="2" name="Рисунок 10" descr="http://oge.fipi.ru/os/docs/0CD62708049A9FB940BFBB6E0A09ECC8/docs/82F4C84516D7B51B4A3AEDC454A7F82A/xs3docsrc82F4C84516D7B51B4A3AEDC454A7F82A_3_161191027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oge.fipi.ru/os/docs/0CD62708049A9FB940BFBB6E0A09ECC8/docs/82F4C84516D7B51B4A3AEDC454A7F82A/xs3docsrc82F4C84516D7B51B4A3AEDC454A7F82A_3_1611910274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0590" cy="1699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движении твёрдого тела в жидкости или газе или при движении одного слоя жидкости (газа) относительно другого возникает сила, тормозящая движение, – сила жидкого трения, или сила сопротивления.</w:t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Главная особенность силы сопротивления состоит в том, что она появляется только при относительном движении тела и окружающей среды. Сила трения покоя в жидкостях и газах полностью отсутствует. Модуль силы сопротивления зависит от размеров, формы и состояния поверхности тела, свойств (вязкости) среды (жидкости или газа), в которой движется тело и, наконец, от относительной скорости движения тела и среды.</w:t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3821430</wp:posOffset>
            </wp:positionH>
            <wp:positionV relativeFrom="paragraph">
              <wp:posOffset>573405</wp:posOffset>
            </wp:positionV>
            <wp:extent cx="2120265" cy="1863090"/>
            <wp:effectExtent l="19050" t="0" r="0" b="0"/>
            <wp:wrapThrough wrapText="bothSides">
              <wp:wrapPolygon edited="0">
                <wp:start x="-194" y="0"/>
                <wp:lineTo x="-194" y="21423"/>
                <wp:lineTo x="21542" y="21423"/>
                <wp:lineTo x="21542" y="0"/>
                <wp:lineTo x="-194" y="0"/>
              </wp:wrapPolygon>
            </wp:wrapThrough>
            <wp:docPr id="3" name="Рисунок 11" descr="http://oge.fipi.ru/os/docs/0CD62708049A9FB940BFBB6E0A09ECC8/docs/82F4C84516D7B51B4A3AEDC454A7F82A/xs3docsrc82F4C84516D7B51B4A3AEDC454A7F82A_1_16119102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oge.fipi.ru/os/docs/0CD62708049A9FB940BFBB6E0A09ECC8/docs/82F4C84516D7B51B4A3AEDC454A7F82A/xs3docsrc82F4C84516D7B51B4A3AEDC454A7F82A_1_1611910274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0265" cy="1863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того чтобы уменьшить силу сопротивления среды, телу придают обтекаемую форму. Наиболее выгодна в этом отношении форма, близкая</w:t>
      </w: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 форме падающей капли дождя.</w:t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Примерный характер зависимости модуля силы сопротивления от модуля относительной скорости тела приведён на рисунке. Если тело неподвижно относительно вязкой среды (относительная скорость равна нулю), то сила сопротивления равна нулю. С увеличением относительной скорости сила сопротивления растёт медленно, а потом всё быстрее и быстрее.</w:t>
      </w:r>
    </w:p>
    <w:p w:rsidR="00BC2734" w:rsidRPr="00BC2734" w:rsidRDefault="00BC2734" w:rsidP="00BC2734">
      <w:pPr>
        <w:spacing w:after="0" w:line="360" w:lineRule="auto"/>
        <w:ind w:righ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 Петя решил поэкспериментировать дома. Он взял раскрытый зонт и начал его поднимать и опускать с одинаковой скоростью. В каком случае Петя чувствовал большее сопротивление – при движении вниз или вверх? Свой ответ поясните.</w:t>
      </w:r>
    </w:p>
    <w:p w:rsidR="00BC2734" w:rsidRPr="00BC2734" w:rsidRDefault="00BC2734" w:rsidP="00BC2734">
      <w:pPr>
        <w:spacing w:after="0" w:line="360" w:lineRule="auto"/>
        <w:ind w:right="-11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2. Какое из тел при движении в воздухе с одинаковой скоростью будет испытывать наименьшее сопротивление?</w:t>
      </w:r>
    </w:p>
    <w:p w:rsidR="00BC2734" w:rsidRPr="00BC2734" w:rsidRDefault="00BC2734" w:rsidP="00BC2734">
      <w:pPr>
        <w:spacing w:after="0" w:line="240" w:lineRule="auto"/>
        <w:ind w:left="-567" w:right="-113"/>
        <w:rPr>
          <w:rFonts w:ascii="Times New Roman" w:hAnsi="Times New Roman" w:cs="Times New Roman"/>
          <w:sz w:val="28"/>
          <w:szCs w:val="28"/>
        </w:rPr>
      </w:pPr>
      <w:r w:rsidRPr="00BC27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33705" cy="933403"/>
            <wp:effectExtent l="19050" t="0" r="9345" b="0"/>
            <wp:docPr id="5" name="Рисунок 12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undefined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00" cy="934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27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4232" cy="1052423"/>
            <wp:effectExtent l="19050" t="0" r="0" b="0"/>
            <wp:docPr id="6" name="Рисунок 13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undefined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977" cy="1052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27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500458" cy="1061050"/>
            <wp:effectExtent l="19050" t="0" r="4492" b="0"/>
            <wp:docPr id="8" name="Рисунок 14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undefined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0562" cy="1061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273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486307" cy="1104181"/>
            <wp:effectExtent l="19050" t="0" r="0" b="0"/>
            <wp:docPr id="9" name="Рисунок 15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undefined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9136" cy="1106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734" w:rsidRPr="00BC2734" w:rsidRDefault="00BC2734" w:rsidP="00BC2734">
      <w:pPr>
        <w:pBdr>
          <w:bottom w:val="single" w:sz="6" w:space="1" w:color="auto"/>
        </w:pBdr>
        <w:spacing w:after="0" w:line="240" w:lineRule="auto"/>
        <w:ind w:right="-113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Начало формы</w:t>
      </w:r>
    </w:p>
    <w:p w:rsidR="00BC2734" w:rsidRPr="00BC2734" w:rsidRDefault="00BC2734" w:rsidP="00BC2734">
      <w:pPr>
        <w:pBdr>
          <w:top w:val="single" w:sz="6" w:space="1" w:color="auto"/>
        </w:pBdr>
        <w:spacing w:after="0" w:line="240" w:lineRule="auto"/>
        <w:ind w:right="-113"/>
        <w:jc w:val="center"/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vanish/>
          <w:sz w:val="28"/>
          <w:szCs w:val="28"/>
          <w:lang w:eastAsia="ru-RU"/>
        </w:rPr>
        <w:t>Конец формы</w:t>
      </w:r>
    </w:p>
    <w:p w:rsidR="00BC2734" w:rsidRPr="00BC2734" w:rsidRDefault="00BC2734" w:rsidP="00BC2734">
      <w:pPr>
        <w:pStyle w:val="a3"/>
        <w:numPr>
          <w:ilvl w:val="0"/>
          <w:numId w:val="2"/>
        </w:numPr>
        <w:spacing w:after="0" w:line="240" w:lineRule="auto"/>
        <w:ind w:left="0" w:right="-113" w:firstLine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</w:t>
      </w:r>
      <w:r w:rsidRPr="00B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2.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</w:t>
      </w:r>
      <w:r w:rsidRPr="00B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3.                  </w:t>
      </w:r>
      <w:r w:rsidRPr="00BC27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4.</w:t>
      </w:r>
    </w:p>
    <w:p w:rsidR="00BC2734" w:rsidRPr="00BC2734" w:rsidRDefault="00BC2734" w:rsidP="00BC2734">
      <w:pPr>
        <w:spacing w:after="0" w:line="360" w:lineRule="auto"/>
        <w:ind w:right="-113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В спортивных залах для тренировок используют тренажёры различного типа: </w:t>
      </w:r>
      <w:proofErr w:type="spellStart"/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грузоблочные</w:t>
      </w:r>
      <w:proofErr w:type="spellEnd"/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гидравлические. В отличие от </w:t>
      </w:r>
      <w:proofErr w:type="spellStart"/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грузоблочных</w:t>
      </w:r>
      <w:proofErr w:type="spellEnd"/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тренажёров, сопротивление в гидравлических тренажёрах создаётся с помощью принципа гидравлического давления (давления, создаваемого специальной масляной жидкостью в цилиндре). Это даёт возможность работать с оптимальным уровнем нагрузки без необходимости регулировки. А при необходимости увеличить нагрузку достаточно увеличить скорость выполняемых движений.</w:t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017355" cy="2700068"/>
            <wp:effectExtent l="19050" t="0" r="1945" b="0"/>
            <wp:docPr id="19" name="Рисунок 1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undefined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0127" cy="2703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Pr="00BC273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93876" cy="2557710"/>
            <wp:effectExtent l="19050" t="0" r="0" b="0"/>
            <wp:docPr id="20" name="Рисунок 18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undefined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089" cy="2559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Грузоблочный</w:t>
      </w:r>
      <w:proofErr w:type="spellEnd"/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тренажёр                               Гидравлический тренажёр</w:t>
      </w: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2734" w:rsidRPr="00BC2734" w:rsidRDefault="00BC2734" w:rsidP="00BC2734">
      <w:pPr>
        <w:spacing w:after="0" w:line="360" w:lineRule="auto"/>
        <w:ind w:right="-11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Выберите верные утверждения.</w:t>
      </w:r>
    </w:p>
    <w:p w:rsidR="00BC2734" w:rsidRPr="00BC2734" w:rsidRDefault="00BC2734" w:rsidP="00BC2734">
      <w:pPr>
        <w:pStyle w:val="a3"/>
        <w:numPr>
          <w:ilvl w:val="0"/>
          <w:numId w:val="3"/>
        </w:numPr>
        <w:spacing w:after="0" w:line="360" w:lineRule="auto"/>
        <w:ind w:left="0" w:right="-11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как маслянистая жидкость оказывает сопротивление поршню внутри цилиндра при перемещении в обоих направлениях, спортсмен, тренируясь на гидравлическом тренажёре, должен прикладывать усилия для движения также в обоих направлениях.</w:t>
      </w:r>
    </w:p>
    <w:p w:rsidR="00BC2734" w:rsidRPr="00BC2734" w:rsidRDefault="00BC2734" w:rsidP="00BC2734">
      <w:pPr>
        <w:pStyle w:val="a3"/>
        <w:numPr>
          <w:ilvl w:val="0"/>
          <w:numId w:val="3"/>
        </w:numPr>
        <w:spacing w:after="0" w:line="360" w:lineRule="auto"/>
        <w:ind w:left="0" w:right="-11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Поршень внутри цилиндра гидравлического тренажёра изготавливают обтекаемой формы, чтобы уменьшить сопротивление.</w:t>
      </w:r>
    </w:p>
    <w:p w:rsidR="00BC2734" w:rsidRPr="00BC2734" w:rsidRDefault="00BC2734" w:rsidP="00BC2734">
      <w:pPr>
        <w:pStyle w:val="a3"/>
        <w:numPr>
          <w:ilvl w:val="0"/>
          <w:numId w:val="3"/>
        </w:numPr>
        <w:spacing w:after="0" w:line="360" w:lineRule="auto"/>
        <w:ind w:left="0" w:right="-11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увеличении скорости выполнения упражнения на гидравлическом тренажёре увеличивается сопротивление маслянистой жидкости внутри цилиндра, и нагрузка уменьшается.</w:t>
      </w:r>
    </w:p>
    <w:p w:rsidR="00BC2734" w:rsidRPr="00BC2734" w:rsidRDefault="00BC2734" w:rsidP="00BC2734">
      <w:pPr>
        <w:pStyle w:val="a3"/>
        <w:numPr>
          <w:ilvl w:val="0"/>
          <w:numId w:val="3"/>
        </w:numPr>
        <w:spacing w:after="0" w:line="360" w:lineRule="auto"/>
        <w:ind w:left="0" w:right="-113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2734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цилиндре гидравлического тренажёра используется маслянистая жидкость, так как она обладает большой вязкостью, что также  увеличивает сопротивление.</w:t>
      </w:r>
    </w:p>
    <w:p w:rsidR="00BC2734" w:rsidRPr="00BC2734" w:rsidRDefault="00BC2734" w:rsidP="002562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Рефлексия. </w:t>
      </w:r>
    </w:p>
    <w:sectPr w:rsidR="00BC2734" w:rsidRPr="00BC2734" w:rsidSect="00256276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A630B"/>
    <w:multiLevelType w:val="hybridMultilevel"/>
    <w:tmpl w:val="C1A08C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416476"/>
    <w:multiLevelType w:val="hybridMultilevel"/>
    <w:tmpl w:val="E222DE76"/>
    <w:lvl w:ilvl="0" w:tplc="575CFD6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8942732"/>
    <w:multiLevelType w:val="hybridMultilevel"/>
    <w:tmpl w:val="A6A20C5C"/>
    <w:lvl w:ilvl="0" w:tplc="8724E74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6EEB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F62AD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9C297B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CE43F6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9086494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18448D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0BC0C8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EEA505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44482"/>
    <w:rsid w:val="00044482"/>
    <w:rsid w:val="0012520E"/>
    <w:rsid w:val="001709BE"/>
    <w:rsid w:val="001A2F3D"/>
    <w:rsid w:val="00256276"/>
    <w:rsid w:val="003236CE"/>
    <w:rsid w:val="00BC2734"/>
    <w:rsid w:val="00C848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6C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444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562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56276"/>
    <w:rPr>
      <w:rFonts w:ascii="Tahoma" w:hAnsi="Tahoma" w:cs="Tahoma"/>
      <w:sz w:val="16"/>
      <w:szCs w:val="16"/>
    </w:rPr>
  </w:style>
  <w:style w:type="paragraph" w:customStyle="1" w:styleId="c10">
    <w:name w:val="c10"/>
    <w:basedOn w:val="a"/>
    <w:rsid w:val="002562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256276"/>
  </w:style>
  <w:style w:type="character" w:customStyle="1" w:styleId="c5">
    <w:name w:val="c5"/>
    <w:basedOn w:val="a0"/>
    <w:rsid w:val="0025627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12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031302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2044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7986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6488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094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20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09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966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Ekaterina</dc:creator>
  <cp:lastModifiedBy>Ekaterina</cp:lastModifiedBy>
  <cp:revision>2</cp:revision>
  <dcterms:created xsi:type="dcterms:W3CDTF">2022-12-13T15:21:00Z</dcterms:created>
  <dcterms:modified xsi:type="dcterms:W3CDTF">2023-02-01T10:23:00Z</dcterms:modified>
</cp:coreProperties>
</file>