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83A249" w14:textId="0ADC124D" w:rsidR="003E29F6" w:rsidRPr="002B2778" w:rsidRDefault="003E29F6" w:rsidP="003E29F6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2B277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УДК</w:t>
      </w:r>
      <w:r w:rsidR="00346B3A" w:rsidRPr="002B277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573.6; 574.635</w:t>
      </w:r>
    </w:p>
    <w:p w14:paraId="7AF5A867" w14:textId="77777777" w:rsidR="003E29F6" w:rsidRPr="002B2778" w:rsidRDefault="003E29F6" w:rsidP="003E29F6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14:paraId="3D4A681C" w14:textId="77777777" w:rsidR="003E29F6" w:rsidRPr="002B2778" w:rsidRDefault="008763AD" w:rsidP="003E29F6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2B277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ВЛИЯНИЕ ДОДЕЦИЛСУЛЬФАТА НАТРИЯ НА ЭЛИМИНИРОВАНИЕ АММОНИЯ </w:t>
      </w:r>
      <w:r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SPIROGIRA</w:t>
      </w:r>
      <w:r w:rsidRPr="002B277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SP.</w:t>
      </w:r>
    </w:p>
    <w:p w14:paraId="6A88DB34" w14:textId="7D72A5FC" w:rsidR="003E29F6" w:rsidRPr="002B2778" w:rsidRDefault="00C0447C" w:rsidP="003E29F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val="ru-RU"/>
        </w:rPr>
      </w:pPr>
      <w:r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С. Э.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="008763AD"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Сергиенко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="003E29F6" w:rsidRPr="002B2778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val="ru-RU"/>
        </w:rPr>
        <w:t>1,2</w:t>
      </w:r>
      <w:r w:rsidR="003E29F6"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, </w:t>
      </w:r>
      <w:r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Е. Г.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="00B32553"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Белова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="00B32553" w:rsidRPr="002B2778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val="ru-RU"/>
        </w:rPr>
        <w:t>3</w:t>
      </w:r>
      <w:r w:rsidR="00B32553"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, В. О.</w:t>
      </w:r>
      <w:r w:rsidRPr="00C0447C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proofErr w:type="spellStart"/>
      <w:r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Суховнина</w:t>
      </w:r>
      <w:proofErr w:type="spellEnd"/>
      <w:r w:rsidRPr="002B2778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val="ru-RU"/>
        </w:rPr>
        <w:t xml:space="preserve"> </w:t>
      </w:r>
      <w:r w:rsidR="00B32553" w:rsidRPr="002B2778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val="ru-RU"/>
        </w:rPr>
        <w:t>3</w:t>
      </w:r>
      <w:r w:rsidR="00B32553"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, М. С.</w:t>
      </w:r>
      <w:r w:rsidRPr="00C0447C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Сакович</w:t>
      </w:r>
      <w:r w:rsidRPr="002B2778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val="ru-RU"/>
        </w:rPr>
        <w:t xml:space="preserve"> </w:t>
      </w:r>
      <w:r w:rsidR="00B32553" w:rsidRPr="002B2778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val="ru-RU"/>
        </w:rPr>
        <w:t>2</w:t>
      </w:r>
    </w:p>
    <w:p w14:paraId="1F4E3C59" w14:textId="77777777" w:rsidR="003E29F6" w:rsidRPr="002B2778" w:rsidRDefault="003E29F6" w:rsidP="003E29F6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 w:rsidRPr="002B2778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val="ru-RU"/>
        </w:rPr>
        <w:t xml:space="preserve">1 </w:t>
      </w:r>
      <w:r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ФГБОУ ВО «Иркутский государственный университет»</w:t>
      </w:r>
    </w:p>
    <w:p w14:paraId="176DEFBC" w14:textId="77777777" w:rsidR="003E29F6" w:rsidRPr="002B2778" w:rsidRDefault="003E29F6" w:rsidP="003E29F6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 w:rsidRPr="002B2778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val="ru-RU"/>
        </w:rPr>
        <w:t xml:space="preserve">2 </w:t>
      </w:r>
      <w:r w:rsidR="008763AD"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ФГБОУ ВО «Иркутский национальный исследовательский технический университет»</w:t>
      </w:r>
    </w:p>
    <w:p w14:paraId="6F92CB1F" w14:textId="77777777" w:rsidR="003E29F6" w:rsidRPr="002B2778" w:rsidRDefault="003E29F6" w:rsidP="003E29F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 w:rsidRPr="002B2778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val="ru-RU"/>
        </w:rPr>
        <w:t xml:space="preserve">3 </w:t>
      </w:r>
      <w:r w:rsidR="008763AD"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ФГБУН «Байкальский Музей ИНЦ» </w:t>
      </w:r>
    </w:p>
    <w:p w14:paraId="6D875D91" w14:textId="77777777" w:rsidR="003E29F6" w:rsidRPr="002B2778" w:rsidRDefault="009D2C59" w:rsidP="003E29F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stomd</w:t>
      </w:r>
      <w:r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@</w:t>
      </w:r>
      <w:r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mail</w:t>
      </w:r>
      <w:r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.</w:t>
      </w:r>
      <w:r w:rsidRPr="002B2778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ru</w:t>
      </w:r>
    </w:p>
    <w:p w14:paraId="7D1D86DF" w14:textId="35E1F4CC" w:rsidR="008763AD" w:rsidRPr="00C0447C" w:rsidRDefault="00C0447C" w:rsidP="008763A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044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decrease in the intensity of the processes of absorption of ammonium by </w:t>
      </w:r>
      <w:r w:rsidRPr="00C0447C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Spirogira</w:t>
      </w:r>
      <w:r w:rsidRPr="00C044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sp. and the destruction of its cells under the action of the a</w:t>
      </w:r>
      <w:bookmarkStart w:id="0" w:name="_GoBack"/>
      <w:bookmarkEnd w:id="0"/>
      <w:r w:rsidRPr="00C0447C">
        <w:rPr>
          <w:rFonts w:ascii="Times New Roman" w:eastAsia="Times New Roman" w:hAnsi="Times New Roman" w:cs="Times New Roman"/>
          <w:sz w:val="24"/>
          <w:szCs w:val="24"/>
          <w:lang w:val="en-US"/>
        </w:rPr>
        <w:t>nionic surfactant sodium dodecyl sulfate.</w:t>
      </w:r>
    </w:p>
    <w:p w14:paraId="70CC1B4F" w14:textId="6B9E8601" w:rsidR="00CA1C8D" w:rsidRPr="002B2778" w:rsidRDefault="00CA1C8D" w:rsidP="00CA1C8D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B2778">
        <w:rPr>
          <w:rFonts w:ascii="Times New Roman" w:eastAsia="Times New Roman" w:hAnsi="Times New Roman" w:cs="Times New Roman"/>
          <w:sz w:val="24"/>
          <w:szCs w:val="24"/>
          <w:lang w:val="ru-RU"/>
        </w:rPr>
        <w:t>Проблема загрязнения природных вод биогенными веществами (мочевина, аммоний, нитраты, фосфаты и пр.), поверхностно-активными соединениями (ПАВ) является одной из самых актуальных, затрагивающих практически каждый регион нашей страны. Актуально это и для</w:t>
      </w:r>
      <w:r w:rsidR="002B2778" w:rsidRPr="002B277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водоемов водосборного бассейна </w:t>
      </w:r>
      <w:r w:rsidRPr="002B277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оз. Байкал. Развитие туризма на побережье озера, а также постоянно возрастающий поток туристов и, соответственно, водного транспорта, неконтролируемое развитие туристических баз, не оснащенных системами очистки сточных вод – все это, так или иначе, приводит к значительному усилению антропогенной нагрузки на водосборный бассейн озера Байкал. </w:t>
      </w:r>
    </w:p>
    <w:p w14:paraId="6140A11B" w14:textId="77777777" w:rsidR="008763AD" w:rsidRPr="00B06464" w:rsidRDefault="00CA1C8D" w:rsidP="008763AD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B277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Комплексность загрязнения водоемов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обуславливает </w:t>
      </w:r>
      <w:r w:rsidR="00EE7DC9">
        <w:rPr>
          <w:rFonts w:ascii="Times New Roman" w:eastAsia="Times New Roman" w:hAnsi="Times New Roman" w:cs="Times New Roman"/>
          <w:sz w:val="24"/>
          <w:szCs w:val="24"/>
          <w:lang w:val="ru-RU"/>
        </w:rPr>
        <w:t>возникновение различных эффектов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EE7DC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взаимного влияния загрязнителей различных типов – как друг на друга, так и на живые организмы. </w:t>
      </w:r>
      <w:r w:rsidR="008763AD">
        <w:rPr>
          <w:rFonts w:ascii="Times New Roman" w:eastAsia="Times New Roman" w:hAnsi="Times New Roman" w:cs="Times New Roman"/>
          <w:sz w:val="24"/>
          <w:szCs w:val="24"/>
          <w:lang w:val="ru-RU"/>
        </w:rPr>
        <w:t>Цель данного сообщения – изучить</w:t>
      </w:r>
      <w:r w:rsidR="008763AD" w:rsidRPr="003E29F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B06464">
        <w:rPr>
          <w:rFonts w:ascii="Times New Roman" w:eastAsia="Times New Roman" w:hAnsi="Times New Roman" w:cs="Times New Roman"/>
          <w:sz w:val="24"/>
          <w:szCs w:val="24"/>
          <w:lang w:val="ru-RU"/>
        </w:rPr>
        <w:t>влияние анионоактивного ПАВ додецилсульфата натрия на элиминирование аммония байкальской спирогирой.</w:t>
      </w:r>
    </w:p>
    <w:p w14:paraId="077168F2" w14:textId="1A354C1B" w:rsidR="00CA1C8D" w:rsidRPr="00CA1C8D" w:rsidRDefault="00CA1C8D" w:rsidP="00CA1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A1C8D">
        <w:rPr>
          <w:rFonts w:ascii="Times New Roman" w:hAnsi="Times New Roman" w:cs="Times New Roman"/>
          <w:sz w:val="24"/>
          <w:szCs w:val="28"/>
          <w:lang w:val="ru-RU"/>
        </w:rPr>
        <w:t xml:space="preserve">Спирогиру </w:t>
      </w:r>
      <w:r w:rsidRPr="00CA1C8D">
        <w:rPr>
          <w:rFonts w:ascii="Times New Roman" w:hAnsi="Times New Roman" w:cs="Times New Roman"/>
          <w:sz w:val="24"/>
          <w:szCs w:val="28"/>
        </w:rPr>
        <w:t>отбирали в оз. Байкал вблизи пос. Большие Коты (Лиственичный залив), и в п. Листвянка с привлечением водолазной техники и аквалангистов Байкальского Музея ИНЦ (корабль «Профессор Тресков»).</w:t>
      </w:r>
      <w:r>
        <w:rPr>
          <w:rFonts w:ascii="Times New Roman" w:hAnsi="Times New Roman" w:cs="Times New Roman"/>
          <w:sz w:val="24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CA1C8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пирогиру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 лабораторных условиях </w:t>
      </w:r>
      <w:r w:rsidRPr="00CA1C8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поддерживали на байкальской воде при 10 °С. При помощи компрессоров осуществляли непрерывную аэрацию </w:t>
      </w:r>
      <w:r w:rsidR="002B2778">
        <w:rPr>
          <w:rFonts w:ascii="Times New Roman" w:eastAsia="Times New Roman" w:hAnsi="Times New Roman" w:cs="Times New Roman"/>
          <w:sz w:val="24"/>
          <w:szCs w:val="24"/>
          <w:lang w:val="ru-RU"/>
        </w:rPr>
        <w:t>аквариумов</w:t>
      </w:r>
      <w:r w:rsidRPr="00CA1C8D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A1C8D">
        <w:rPr>
          <w:rFonts w:ascii="Times New Roman" w:hAnsi="Times New Roman" w:cs="Times New Roman"/>
          <w:sz w:val="24"/>
          <w:szCs w:val="28"/>
        </w:rPr>
        <w:t>Навеску растения (4 г сырой массы) помещали в пластиковые контейнеры объёмом 400 мл. Контейнеры содержали предварительно подготовленный раствор байкальской воды с исследуемым соединен</w:t>
      </w:r>
      <w:r>
        <w:rPr>
          <w:rFonts w:ascii="Times New Roman" w:hAnsi="Times New Roman" w:cs="Times New Roman"/>
          <w:sz w:val="24"/>
          <w:szCs w:val="28"/>
        </w:rPr>
        <w:t>ием в определенной концентрации</w:t>
      </w:r>
      <w:r w:rsidRPr="00CA1C8D">
        <w:rPr>
          <w:rFonts w:ascii="Times New Roman" w:hAnsi="Times New Roman" w:cs="Times New Roman"/>
          <w:sz w:val="24"/>
          <w:szCs w:val="28"/>
        </w:rPr>
        <w:t xml:space="preserve">. После помещения растения в пластиковый контейнер, его закрывали крышкой и помещали в холодильник с люминесцентной лампой мощностью 5 Вт, интенсивность освещения составляла – 700-750 </w:t>
      </w:r>
      <w:proofErr w:type="spellStart"/>
      <w:r w:rsidRPr="00CA1C8D">
        <w:rPr>
          <w:rFonts w:ascii="Times New Roman" w:hAnsi="Times New Roman" w:cs="Times New Roman"/>
          <w:sz w:val="24"/>
          <w:szCs w:val="28"/>
        </w:rPr>
        <w:t>лк</w:t>
      </w:r>
      <w:proofErr w:type="spellEnd"/>
      <w:r w:rsidRPr="00CA1C8D">
        <w:rPr>
          <w:rFonts w:ascii="Times New Roman" w:hAnsi="Times New Roman" w:cs="Times New Roman"/>
          <w:sz w:val="24"/>
          <w:szCs w:val="28"/>
        </w:rPr>
        <w:t xml:space="preserve">. Температура в холодильнике – 7-8 </w:t>
      </w:r>
      <w:r w:rsidRPr="00CA1C8D">
        <w:rPr>
          <w:rFonts w:ascii="Times New Roman" w:hAnsi="Times New Roman" w:cs="Times New Roman"/>
          <w:sz w:val="24"/>
          <w:szCs w:val="28"/>
          <w:lang w:val="en-US"/>
        </w:rPr>
        <w:t>C</w:t>
      </w:r>
      <w:r w:rsidRPr="00CA1C8D">
        <w:rPr>
          <w:rFonts w:ascii="Times New Roman" w:hAnsi="Times New Roman" w:cs="Times New Roman"/>
          <w:sz w:val="24"/>
          <w:szCs w:val="28"/>
        </w:rPr>
        <w:t>°. Цикл свет</w:t>
      </w:r>
      <w:r>
        <w:rPr>
          <w:rFonts w:ascii="Times New Roman" w:hAnsi="Times New Roman" w:cs="Times New Roman"/>
          <w:sz w:val="24"/>
          <w:szCs w:val="28"/>
          <w:lang w:val="ru-RU"/>
        </w:rPr>
        <w:t>/</w:t>
      </w:r>
      <w:r w:rsidRPr="00CA1C8D">
        <w:rPr>
          <w:rFonts w:ascii="Times New Roman" w:hAnsi="Times New Roman" w:cs="Times New Roman"/>
          <w:sz w:val="24"/>
          <w:szCs w:val="28"/>
        </w:rPr>
        <w:t xml:space="preserve">темнота составлял 12/12 часов.  Время проведения опыта варьировало от 3 до 6 дней. Периодически измеряли концентрацию </w:t>
      </w:r>
      <w:r>
        <w:rPr>
          <w:rFonts w:ascii="Times New Roman" w:hAnsi="Times New Roman" w:cs="Times New Roman"/>
          <w:sz w:val="24"/>
          <w:szCs w:val="28"/>
          <w:lang w:val="ru-RU"/>
        </w:rPr>
        <w:t>аммонийного азота ф</w:t>
      </w:r>
      <w:r w:rsidRPr="00CA1C8D">
        <w:rPr>
          <w:rFonts w:ascii="Times New Roman" w:hAnsi="Times New Roman" w:cs="Times New Roman"/>
          <w:sz w:val="24"/>
        </w:rPr>
        <w:t>отометрически</w:t>
      </w:r>
      <w:r>
        <w:rPr>
          <w:rFonts w:ascii="Times New Roman" w:hAnsi="Times New Roman" w:cs="Times New Roman"/>
          <w:sz w:val="24"/>
          <w:lang w:val="ru-RU"/>
        </w:rPr>
        <w:t>м</w:t>
      </w:r>
      <w:r w:rsidRPr="00CA1C8D">
        <w:rPr>
          <w:rFonts w:ascii="Times New Roman" w:hAnsi="Times New Roman" w:cs="Times New Roman"/>
          <w:sz w:val="24"/>
        </w:rPr>
        <w:t xml:space="preserve"> метод</w:t>
      </w:r>
      <w:r>
        <w:rPr>
          <w:rFonts w:ascii="Times New Roman" w:hAnsi="Times New Roman" w:cs="Times New Roman"/>
          <w:sz w:val="24"/>
          <w:lang w:val="ru-RU"/>
        </w:rPr>
        <w:t>ом</w:t>
      </w:r>
      <w:r w:rsidRPr="00CA1C8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с реактивом Несслера</w:t>
      </w:r>
      <w:r>
        <w:rPr>
          <w:rFonts w:ascii="Times New Roman" w:hAnsi="Times New Roman" w:cs="Times New Roman"/>
          <w:sz w:val="24"/>
          <w:szCs w:val="28"/>
          <w:lang w:val="ru-RU"/>
        </w:rPr>
        <w:t xml:space="preserve"> в соответствии с </w:t>
      </w:r>
      <w:r>
        <w:rPr>
          <w:rFonts w:ascii="Times New Roman" w:hAnsi="Times New Roman" w:cs="Times New Roman"/>
          <w:sz w:val="24"/>
          <w:szCs w:val="28"/>
        </w:rPr>
        <w:t>РД 52.24.486-2009</w:t>
      </w:r>
      <w:r w:rsidRPr="00CA1C8D">
        <w:rPr>
          <w:rFonts w:ascii="Times New Roman" w:hAnsi="Times New Roman" w:cs="Times New Roman"/>
          <w:sz w:val="24"/>
          <w:szCs w:val="28"/>
        </w:rPr>
        <w:t>.</w:t>
      </w:r>
    </w:p>
    <w:p w14:paraId="24D3C11D" w14:textId="77777777" w:rsidR="003E29F6" w:rsidRDefault="00D44A4E" w:rsidP="003E29F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D44A4E">
        <w:rPr>
          <w:rFonts w:ascii="Times New Roman" w:eastAsia="Times New Roman" w:hAnsi="Times New Roman" w:cs="Times New Roman"/>
          <w:sz w:val="24"/>
          <w:szCs w:val="24"/>
          <w:lang w:val="ru-RU"/>
        </w:rPr>
        <w:t>ценивали изменение концентрации аммонийного азота спирогирой в присутствии додецилсульфата натрия в концентрации 5 мг/л. Исходное содержание аммония в пробе составляло 10 мг/л. Эксперименты выявили негативное воздействие ПАВ на поглощение спирогирой аммония. Так, в течение 1 сут под влиянием 5 мг/л ДСН спирогира поглотила 19 % аммония, в то время как при отсутствии ПАВ – 43 % от исходного. На 2 сут эксперимента в пробе, содержащей ПАВ, поглощение аммонийного азота составило 32 %, а на 6 сут – 55 % аммония от исходного, что значительно ниже контрольного варианта, в котором поглощение за 2 и 6 сут составило 90 и 96 % от ис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ходного, соответственно (рис. 1</w:t>
      </w:r>
      <w:r w:rsidRPr="00D44A4E">
        <w:rPr>
          <w:rFonts w:ascii="Times New Roman" w:eastAsia="Times New Roman" w:hAnsi="Times New Roman" w:cs="Times New Roman"/>
          <w:sz w:val="24"/>
          <w:szCs w:val="24"/>
          <w:lang w:val="ru-RU"/>
        </w:rPr>
        <w:t>).</w:t>
      </w:r>
    </w:p>
    <w:p w14:paraId="6AA44E06" w14:textId="77777777" w:rsidR="00D44A4E" w:rsidRDefault="00D44A4E" w:rsidP="003E29F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F7324">
        <w:rPr>
          <w:rFonts w:ascii="Times New Roman" w:hAnsi="Times New Roman" w:cs="Times New Roman"/>
          <w:noProof/>
          <w:sz w:val="28"/>
          <w:szCs w:val="28"/>
          <w:lang w:val="ru-RU"/>
        </w:rPr>
        <w:lastRenderedPageBreak/>
        <w:drawing>
          <wp:inline distT="0" distB="0" distL="0" distR="0" wp14:anchorId="62575201" wp14:editId="4AF1D5F7">
            <wp:extent cx="5237683" cy="2092147"/>
            <wp:effectExtent l="0" t="0" r="1270" b="381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3C5229E0" w14:textId="77777777" w:rsidR="00D44A4E" w:rsidRPr="00D44A4E" w:rsidRDefault="00D44A4E" w:rsidP="00D44A4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Рис. 1</w:t>
      </w:r>
      <w:r w:rsidRPr="00D44A4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Влияние додецилсульфата натрия (5 мг/л) на элиминирование аммонийного азота </w:t>
      </w:r>
      <w:r w:rsidRPr="00EE7DC9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Spirogira</w:t>
      </w:r>
      <w:r w:rsidRPr="00D44A4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sp.</w:t>
      </w:r>
    </w:p>
    <w:p w14:paraId="371D4D38" w14:textId="77777777" w:rsidR="00D44A4E" w:rsidRPr="00D44A4E" w:rsidRDefault="00D44A4E" w:rsidP="00D44A4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7A2824D2" w14:textId="278EB792" w:rsidR="00D44A4E" w:rsidRDefault="00D44A4E" w:rsidP="00D44A4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44A4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Микроскопирование исследуемых проб показала разрушение клеток спирогиры под воздействием </w:t>
      </w:r>
      <w:r w:rsidR="0058041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повышенных концентраций </w:t>
      </w:r>
      <w:r w:rsidRPr="00D44A4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ПАВ (рис.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Pr="00D44A4E">
        <w:rPr>
          <w:rFonts w:ascii="Times New Roman" w:eastAsia="Times New Roman" w:hAnsi="Times New Roman" w:cs="Times New Roman"/>
          <w:sz w:val="24"/>
          <w:szCs w:val="24"/>
          <w:lang w:val="ru-RU"/>
        </w:rPr>
        <w:t>).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44A4E" w:rsidRPr="007E04B2" w14:paraId="15C72168" w14:textId="77777777" w:rsidTr="00FD3FAB">
        <w:tc>
          <w:tcPr>
            <w:tcW w:w="4785" w:type="dxa"/>
          </w:tcPr>
          <w:p w14:paraId="7119976E" w14:textId="77777777" w:rsidR="00D44A4E" w:rsidRPr="007E04B2" w:rsidRDefault="00D44A4E" w:rsidP="00B0646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8"/>
              </w:rPr>
            </w:pPr>
            <w:r w:rsidRPr="007E04B2">
              <w:rPr>
                <w:rFonts w:ascii="Times New Roman" w:eastAsiaTheme="majorEastAsia" w:hAnsi="Times New Roman" w:cs="Times New Roman"/>
                <w:b/>
                <w:bCs/>
                <w:noProof/>
                <w:sz w:val="24"/>
                <w:szCs w:val="28"/>
                <w:lang w:val="ru-RU"/>
              </w:rPr>
              <w:drawing>
                <wp:inline distT="0" distB="0" distL="0" distR="0" wp14:anchorId="3AAA4A42" wp14:editId="31EFA48A">
                  <wp:extent cx="2655417" cy="1991563"/>
                  <wp:effectExtent l="0" t="0" r="0" b="8890"/>
                  <wp:docPr id="14" name="Рисунок 14" descr="E:\БАЙКАЛЬСКИЙ МУЗЕЙ\ОТЧЕТ БМ 2020\Спирогира контроль (Байкальская вода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БАЙКАЛЬСКИЙ МУЗЕЙ\ОТЧЕТ БМ 2020\Спирогира контроль (Байкальская вода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6945" cy="2000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D33CA3" w14:textId="77777777" w:rsidR="00D44A4E" w:rsidRPr="007E04B2" w:rsidRDefault="00D44A4E" w:rsidP="00B06464">
            <w:pPr>
              <w:jc w:val="center"/>
              <w:rPr>
                <w:rFonts w:ascii="Times New Roman" w:eastAsiaTheme="majorEastAsia" w:hAnsi="Times New Roman" w:cs="Times New Roman"/>
                <w:bCs/>
                <w:sz w:val="24"/>
                <w:szCs w:val="28"/>
              </w:rPr>
            </w:pPr>
            <w:r w:rsidRPr="007E04B2">
              <w:rPr>
                <w:rFonts w:ascii="Times New Roman" w:eastAsiaTheme="majorEastAsia" w:hAnsi="Times New Roman" w:cs="Times New Roman"/>
                <w:bCs/>
                <w:sz w:val="24"/>
                <w:szCs w:val="28"/>
              </w:rPr>
              <w:t>Контроль</w:t>
            </w:r>
          </w:p>
        </w:tc>
        <w:tc>
          <w:tcPr>
            <w:tcW w:w="4786" w:type="dxa"/>
          </w:tcPr>
          <w:p w14:paraId="2BCA25CA" w14:textId="77777777" w:rsidR="00D44A4E" w:rsidRPr="007E04B2" w:rsidRDefault="00D44A4E" w:rsidP="00B06464">
            <w:pPr>
              <w:jc w:val="center"/>
              <w:rPr>
                <w:rFonts w:ascii="Times New Roman" w:eastAsiaTheme="majorEastAsia" w:hAnsi="Times New Roman" w:cs="Times New Roman"/>
                <w:b/>
                <w:bCs/>
                <w:sz w:val="24"/>
                <w:szCs w:val="28"/>
              </w:rPr>
            </w:pPr>
            <w:r w:rsidRPr="007E04B2">
              <w:rPr>
                <w:rFonts w:ascii="Times New Roman" w:eastAsiaTheme="majorEastAsia" w:hAnsi="Times New Roman" w:cs="Times New Roman"/>
                <w:b/>
                <w:bCs/>
                <w:noProof/>
                <w:sz w:val="24"/>
                <w:szCs w:val="28"/>
                <w:lang w:val="ru-RU"/>
              </w:rPr>
              <w:drawing>
                <wp:inline distT="0" distB="0" distL="0" distR="0" wp14:anchorId="5187FE73" wp14:editId="69396415">
                  <wp:extent cx="2652981" cy="1989734"/>
                  <wp:effectExtent l="0" t="0" r="0" b="0"/>
                  <wp:docPr id="15" name="Рисунок 15" descr="E:\БАЙКАЛЬСКИЙ МУЗЕЙ\ОТЧЕТ БМ 2020\Спирогира под влиянием NH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БАЙКАЛЬСКИЙ МУЗЕЙ\ОТЧЕТ БМ 2020\Спирогира под влиянием NH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5386" cy="1991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187181" w14:textId="77777777" w:rsidR="00D44A4E" w:rsidRPr="007E04B2" w:rsidRDefault="00D44A4E" w:rsidP="00B0646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8"/>
              </w:rPr>
            </w:pPr>
            <w:r w:rsidRPr="007E04B2">
              <w:rPr>
                <w:rFonts w:ascii="Times New Roman" w:eastAsiaTheme="majorEastAsia" w:hAnsi="Times New Roman" w:cs="Times New Roman"/>
                <w:bCs/>
                <w:sz w:val="24"/>
                <w:szCs w:val="28"/>
              </w:rPr>
              <w:t>Аммоний 10 мг/л</w:t>
            </w:r>
          </w:p>
        </w:tc>
      </w:tr>
      <w:tr w:rsidR="00D44A4E" w:rsidRPr="00857307" w14:paraId="5AC8AE7C" w14:textId="77777777" w:rsidTr="00FD3FAB">
        <w:tc>
          <w:tcPr>
            <w:tcW w:w="4785" w:type="dxa"/>
          </w:tcPr>
          <w:p w14:paraId="13594775" w14:textId="77777777" w:rsidR="00D44A4E" w:rsidRPr="00857307" w:rsidRDefault="00D44A4E" w:rsidP="00B06464">
            <w:pPr>
              <w:jc w:val="center"/>
              <w:rPr>
                <w:rFonts w:ascii="Times New Roman" w:eastAsiaTheme="majorEastAsia" w:hAnsi="Times New Roman" w:cs="Times New Roman"/>
                <w:b/>
                <w:bCs/>
                <w:sz w:val="24"/>
                <w:szCs w:val="28"/>
              </w:rPr>
            </w:pPr>
            <w:r w:rsidRPr="00857307">
              <w:rPr>
                <w:rFonts w:ascii="Times New Roman" w:eastAsiaTheme="majorEastAsia" w:hAnsi="Times New Roman" w:cs="Times New Roman"/>
                <w:b/>
                <w:bCs/>
                <w:noProof/>
                <w:sz w:val="24"/>
                <w:szCs w:val="28"/>
                <w:lang w:val="ru-RU"/>
              </w:rPr>
              <w:drawing>
                <wp:inline distT="0" distB="0" distL="0" distR="0" wp14:anchorId="59C15F75" wp14:editId="6A77DF92">
                  <wp:extent cx="2578034" cy="2070202"/>
                  <wp:effectExtent l="0" t="0" r="0" b="6350"/>
                  <wp:docPr id="17" name="Рисунок 17" descr="E:\БАЙКАЛЬСКИЙ МУЗЕЙ\ОТЧЕТ БМ 2020\Спирогира под влиянием ДС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БАЙКАЛЬСКИЙ МУЗЕЙ\ОТЧЕТ БМ 2020\Спирогира под влиянием ДСН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046" r="16667" b="4729"/>
                          <a:stretch/>
                        </pic:blipFill>
                        <pic:spPr bwMode="auto">
                          <a:xfrm>
                            <a:off x="0" y="0"/>
                            <a:ext cx="2584935" cy="2075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3172194" w14:textId="77777777" w:rsidR="00D44A4E" w:rsidRPr="00857307" w:rsidRDefault="00D44A4E" w:rsidP="00B064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857307">
              <w:rPr>
                <w:rFonts w:ascii="Times New Roman" w:eastAsia="Times New Roman" w:hAnsi="Times New Roman" w:cs="Times New Roman"/>
                <w:sz w:val="24"/>
                <w:szCs w:val="28"/>
              </w:rPr>
              <w:t>Додецилсульфат натрия 5 мг/л</w:t>
            </w:r>
          </w:p>
        </w:tc>
        <w:tc>
          <w:tcPr>
            <w:tcW w:w="4786" w:type="dxa"/>
          </w:tcPr>
          <w:p w14:paraId="09700EF3" w14:textId="77777777" w:rsidR="00D44A4E" w:rsidRPr="00857307" w:rsidRDefault="00D44A4E" w:rsidP="00B06464">
            <w:pPr>
              <w:jc w:val="center"/>
              <w:rPr>
                <w:rFonts w:ascii="Times New Roman" w:eastAsiaTheme="majorEastAsia" w:hAnsi="Times New Roman" w:cs="Times New Roman"/>
                <w:b/>
                <w:bCs/>
                <w:sz w:val="24"/>
                <w:szCs w:val="28"/>
              </w:rPr>
            </w:pPr>
            <w:r w:rsidRPr="00857307">
              <w:rPr>
                <w:rFonts w:ascii="Times New Roman" w:eastAsiaTheme="majorEastAsia" w:hAnsi="Times New Roman" w:cs="Times New Roman"/>
                <w:b/>
                <w:bCs/>
                <w:noProof/>
                <w:sz w:val="24"/>
                <w:szCs w:val="28"/>
                <w:lang w:val="ru-RU"/>
              </w:rPr>
              <w:drawing>
                <wp:inline distT="0" distB="0" distL="0" distR="0" wp14:anchorId="13C8DC9A" wp14:editId="1BC3BD64">
                  <wp:extent cx="2670048" cy="2044360"/>
                  <wp:effectExtent l="0" t="0" r="0" b="0"/>
                  <wp:docPr id="19" name="Рисунок 19" descr="E:\БАЙКАЛЬСКИЙ МУЗЕЙ\ОТЧЕТ БМ 2020\Спирогира под влиянием NH4+ДС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БАЙКАЛЬСКИЙ МУЗЕЙ\ОТЧЕТ БМ 2020\Спирогира под влиянием NH4+ДСН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2046"/>
                          <a:stretch/>
                        </pic:blipFill>
                        <pic:spPr bwMode="auto">
                          <a:xfrm>
                            <a:off x="0" y="0"/>
                            <a:ext cx="2688341" cy="2058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AFA2E23" w14:textId="77777777" w:rsidR="00D44A4E" w:rsidRPr="00857307" w:rsidRDefault="00D44A4E" w:rsidP="00B06464">
            <w:pPr>
              <w:jc w:val="center"/>
              <w:rPr>
                <w:rFonts w:ascii="Times New Roman" w:eastAsiaTheme="majorEastAsia" w:hAnsi="Times New Roman" w:cs="Times New Roman"/>
                <w:bCs/>
                <w:sz w:val="24"/>
                <w:szCs w:val="28"/>
              </w:rPr>
            </w:pPr>
            <w:r w:rsidRPr="00857307">
              <w:rPr>
                <w:rFonts w:ascii="Times New Roman" w:eastAsiaTheme="majorEastAsia" w:hAnsi="Times New Roman" w:cs="Times New Roman"/>
                <w:bCs/>
                <w:sz w:val="24"/>
                <w:szCs w:val="28"/>
              </w:rPr>
              <w:t>Аммоний 10 мг/л + додецилсульфат натрия 5 мг/л</w:t>
            </w:r>
          </w:p>
        </w:tc>
      </w:tr>
    </w:tbl>
    <w:p w14:paraId="5FDAA69C" w14:textId="77777777" w:rsidR="00D44A4E" w:rsidRDefault="00D44A4E" w:rsidP="00D44A4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44A4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Рис.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Pr="00D44A4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Клетки </w:t>
      </w:r>
      <w:r w:rsidRPr="00346B3A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Spirogira</w:t>
      </w:r>
      <w:r w:rsidRPr="00D44A4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sp. в исследуемых пробах, содержащих аммонийных азот (10 мг/л), додецилсульфат натрия (5 мг/л) и их смесь</w:t>
      </w:r>
    </w:p>
    <w:p w14:paraId="62368729" w14:textId="77777777" w:rsidR="00D44A4E" w:rsidRDefault="00D44A4E" w:rsidP="00D44A4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60EC1D96" w14:textId="77777777" w:rsidR="00B06464" w:rsidRPr="00B06464" w:rsidRDefault="00B06464" w:rsidP="00B06464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Таким образом, д</w:t>
      </w:r>
      <w:r w:rsidRPr="00B06464">
        <w:rPr>
          <w:rFonts w:ascii="Times New Roman" w:eastAsia="Times New Roman" w:hAnsi="Times New Roman" w:cs="Times New Roman"/>
          <w:sz w:val="24"/>
          <w:szCs w:val="24"/>
          <w:lang w:val="ru-RU"/>
        </w:rPr>
        <w:t>одецилсульфат натрия снижал интенсивность процессов поглощения аммония спирогирой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приводил к разрушению клеток </w:t>
      </w:r>
      <w:r w:rsidRPr="00B06464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Spirogira</w:t>
      </w:r>
      <w:r w:rsidRPr="00B0646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sp.</w:t>
      </w:r>
    </w:p>
    <w:p w14:paraId="5D3800B2" w14:textId="77777777" w:rsidR="00B06464" w:rsidRDefault="00B06464" w:rsidP="00B06464">
      <w:pPr>
        <w:pStyle w:val="a6"/>
        <w:ind w:left="0" w:firstLine="709"/>
        <w:jc w:val="both"/>
        <w:rPr>
          <w:i/>
        </w:rPr>
      </w:pPr>
    </w:p>
    <w:p w14:paraId="487F9A82" w14:textId="77777777" w:rsidR="00EF614D" w:rsidRPr="003E29F6" w:rsidRDefault="00B06464" w:rsidP="00EE7DC9">
      <w:pPr>
        <w:pStyle w:val="a6"/>
        <w:ind w:left="0" w:firstLine="709"/>
        <w:jc w:val="both"/>
      </w:pPr>
      <w:r w:rsidRPr="008A2753">
        <w:rPr>
          <w:i/>
        </w:rPr>
        <w:t>Работа выполнена в рамках проекта «Разработка экологичной, дешевой, простой, высокоэффективной технологии фиторемедиации водных сред Байкальского региона», реализуемого при поддержке грантового конкурса экологических проектов En+ Group. Исследования проводили с использованием Центра коллективного пользования «Коллекция» ФГБНУ «Байкальский Музей ИНЦ» (http://ckp-rf.ru/ckp/495988/).</w:t>
      </w:r>
    </w:p>
    <w:sectPr w:rsidR="00EF614D" w:rsidRPr="003E29F6" w:rsidSect="003E29F6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EA1"/>
    <w:rsid w:val="001D5EFE"/>
    <w:rsid w:val="002430E3"/>
    <w:rsid w:val="002B2778"/>
    <w:rsid w:val="00346B3A"/>
    <w:rsid w:val="003E29F6"/>
    <w:rsid w:val="00580412"/>
    <w:rsid w:val="0076707E"/>
    <w:rsid w:val="007E3E2A"/>
    <w:rsid w:val="008763AD"/>
    <w:rsid w:val="008E06D2"/>
    <w:rsid w:val="009D2C59"/>
    <w:rsid w:val="00A06363"/>
    <w:rsid w:val="00B06464"/>
    <w:rsid w:val="00B32553"/>
    <w:rsid w:val="00BA36DF"/>
    <w:rsid w:val="00BA7EA1"/>
    <w:rsid w:val="00C0447C"/>
    <w:rsid w:val="00CA1C8D"/>
    <w:rsid w:val="00D44A4E"/>
    <w:rsid w:val="00EE7DC9"/>
    <w:rsid w:val="00EF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11E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E29F6"/>
    <w:pPr>
      <w:spacing w:after="0"/>
    </w:pPr>
    <w:rPr>
      <w:rFonts w:ascii="Arial" w:eastAsia="Arial" w:hAnsi="Arial" w:cs="Arial"/>
      <w:lang w:val="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A1C8D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29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29F6"/>
    <w:rPr>
      <w:rFonts w:ascii="Tahoma" w:eastAsia="Arial" w:hAnsi="Tahoma" w:cs="Tahoma"/>
      <w:sz w:val="16"/>
      <w:szCs w:val="16"/>
      <w:lang w:val="ru" w:eastAsia="ru-RU"/>
    </w:rPr>
  </w:style>
  <w:style w:type="table" w:styleId="a5">
    <w:name w:val="Table Grid"/>
    <w:basedOn w:val="a1"/>
    <w:uiPriority w:val="59"/>
    <w:rsid w:val="00BA36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763AD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rsid w:val="00CA1C8D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E29F6"/>
    <w:pPr>
      <w:spacing w:after="0"/>
    </w:pPr>
    <w:rPr>
      <w:rFonts w:ascii="Arial" w:eastAsia="Arial" w:hAnsi="Arial" w:cs="Arial"/>
      <w:lang w:val="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A1C8D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29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29F6"/>
    <w:rPr>
      <w:rFonts w:ascii="Tahoma" w:eastAsia="Arial" w:hAnsi="Tahoma" w:cs="Tahoma"/>
      <w:sz w:val="16"/>
      <w:szCs w:val="16"/>
      <w:lang w:val="ru" w:eastAsia="ru-RU"/>
    </w:rPr>
  </w:style>
  <w:style w:type="table" w:styleId="a5">
    <w:name w:val="Table Grid"/>
    <w:basedOn w:val="a1"/>
    <w:uiPriority w:val="59"/>
    <w:rsid w:val="00BA36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763AD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rsid w:val="00CA1C8D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0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chart" Target="charts/chart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E:\&#1041;&#1040;&#1049;&#1050;&#1040;&#1051;&#1068;&#1057;&#1050;&#1048;&#1049;%20&#1052;&#1059;&#1047;&#1045;&#1049;\&#1054;&#1058;&#1063;&#1045;&#1058;%20&#1041;&#1052;%202020\12.10.2020%20&#1057;&#1045;&#1056;%20&#1057;&#1087;&#1080;&#1088;&#1086;&#1075;&#1080;&#1088;&#1072;%20&#1087;&#1086;&#1075;&#1083;&#1086;&#1097;&#1077;&#1085;&#1080;&#1077;%20&#1072;&#1084;&#1084;&#1086;&#1085;&#1080;&#1103;%20&#1087;&#1086;&#1076;%20&#1074;&#1086;&#1079;&#1076;&#1077;&#1081;&#1090;&#1089;&#1080;&#1074;&#1077;&#1084;%20&#1044;&#1057;&#1053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135099322574979"/>
          <c:y val="3.7252289836805001E-2"/>
          <c:w val="0.5740614695467442"/>
          <c:h val="0.88280858894366399"/>
        </c:manualLayout>
      </c:layout>
      <c:scatterChart>
        <c:scatterStyle val="smoothMarker"/>
        <c:varyColors val="0"/>
        <c:ser>
          <c:idx val="0"/>
          <c:order val="0"/>
          <c:tx>
            <c:strRef>
              <c:f>Sheet1!$I$31</c:f>
              <c:strCache>
                <c:ptCount val="1"/>
                <c:pt idx="0">
                  <c:v>1) Спирогира + NH4</c:v>
                </c:pt>
              </c:strCache>
            </c:strRef>
          </c:tx>
          <c:errBars>
            <c:errDir val="y"/>
            <c:errBarType val="both"/>
            <c:errValType val="cust"/>
            <c:noEndCap val="0"/>
            <c:plus>
              <c:numRef>
                <c:f>Sheet1!$I$55:$I$58</c:f>
                <c:numCache>
                  <c:formatCode>General</c:formatCode>
                  <c:ptCount val="4"/>
                  <c:pt idx="0">
                    <c:v>0</c:v>
                  </c:pt>
                  <c:pt idx="1">
                    <c:v>10.869230057660866</c:v>
                  </c:pt>
                  <c:pt idx="2">
                    <c:v>15.445098825198112</c:v>
                  </c:pt>
                  <c:pt idx="3">
                    <c:v>4.3244472726779124</c:v>
                  </c:pt>
                </c:numCache>
              </c:numRef>
            </c:plus>
            <c:minus>
              <c:numRef>
                <c:f>Sheet1!$I$55:$I$58</c:f>
                <c:numCache>
                  <c:formatCode>General</c:formatCode>
                  <c:ptCount val="4"/>
                  <c:pt idx="0">
                    <c:v>0</c:v>
                  </c:pt>
                  <c:pt idx="1">
                    <c:v>10.869230057660866</c:v>
                  </c:pt>
                  <c:pt idx="2">
                    <c:v>15.445098825198112</c:v>
                  </c:pt>
                  <c:pt idx="3">
                    <c:v>4.3244472726779124</c:v>
                  </c:pt>
                </c:numCache>
              </c:numRef>
            </c:minus>
          </c:errBars>
          <c:xVal>
            <c:numRef>
              <c:f>Sheet1!$H$32:$H$36</c:f>
              <c:numCache>
                <c:formatCode>General</c:formatCode>
                <c:ptCount val="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6</c:v>
                </c:pt>
              </c:numCache>
            </c:numRef>
          </c:xVal>
          <c:yVal>
            <c:numRef>
              <c:f>Sheet1!$I$32:$I$36</c:f>
              <c:numCache>
                <c:formatCode>General</c:formatCode>
                <c:ptCount val="5"/>
                <c:pt idx="0">
                  <c:v>100</c:v>
                </c:pt>
                <c:pt idx="1">
                  <c:v>57.771884924917508</c:v>
                </c:pt>
                <c:pt idx="2">
                  <c:v>10.218617988961181</c:v>
                </c:pt>
                <c:pt idx="3">
                  <c:v>4.4125774145492658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3CDF-47DB-98E7-BFD8DB224490}"/>
            </c:ext>
          </c:extLst>
        </c:ser>
        <c:ser>
          <c:idx val="1"/>
          <c:order val="1"/>
          <c:tx>
            <c:strRef>
              <c:f>Sheet1!$J$31</c:f>
              <c:strCache>
                <c:ptCount val="1"/>
                <c:pt idx="0">
                  <c:v>2) NH4</c:v>
                </c:pt>
              </c:strCache>
            </c:strRef>
          </c:tx>
          <c:errBars>
            <c:errDir val="y"/>
            <c:errBarType val="both"/>
            <c:errValType val="cust"/>
            <c:noEndCap val="0"/>
            <c:plus>
              <c:numRef>
                <c:f>Sheet1!$J$55:$J$58</c:f>
                <c:numCache>
                  <c:formatCode>General</c:formatCode>
                  <c:ptCount val="4"/>
                  <c:pt idx="0">
                    <c:v>1.0048591735576159E-14</c:v>
                  </c:pt>
                  <c:pt idx="1">
                    <c:v>18.415201131999204</c:v>
                  </c:pt>
                  <c:pt idx="2">
                    <c:v>2.6249675127783192</c:v>
                  </c:pt>
                  <c:pt idx="3">
                    <c:v>9.405411649195754</c:v>
                  </c:pt>
                </c:numCache>
              </c:numRef>
            </c:plus>
            <c:minus>
              <c:numRef>
                <c:f>Sheet1!$J$55:$J$58</c:f>
                <c:numCache>
                  <c:formatCode>General</c:formatCode>
                  <c:ptCount val="4"/>
                  <c:pt idx="0">
                    <c:v>1.0048591735576159E-14</c:v>
                  </c:pt>
                  <c:pt idx="1">
                    <c:v>18.415201131999204</c:v>
                  </c:pt>
                  <c:pt idx="2">
                    <c:v>2.6249675127783192</c:v>
                  </c:pt>
                  <c:pt idx="3">
                    <c:v>9.405411649195754</c:v>
                  </c:pt>
                </c:numCache>
              </c:numRef>
            </c:minus>
          </c:errBars>
          <c:xVal>
            <c:numRef>
              <c:f>Sheet1!$H$32:$H$36</c:f>
              <c:numCache>
                <c:formatCode>General</c:formatCode>
                <c:ptCount val="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6</c:v>
                </c:pt>
              </c:numCache>
            </c:numRef>
          </c:xVal>
          <c:yVal>
            <c:numRef>
              <c:f>Sheet1!$J$32:$J$36</c:f>
              <c:numCache>
                <c:formatCode>General</c:formatCode>
                <c:ptCount val="5"/>
                <c:pt idx="0">
                  <c:v>100</c:v>
                </c:pt>
                <c:pt idx="1">
                  <c:v>126.25833838690113</c:v>
                </c:pt>
                <c:pt idx="2">
                  <c:v>113.62153108666143</c:v>
                </c:pt>
                <c:pt idx="3">
                  <c:v>110.52585982846746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3CDF-47DB-98E7-BFD8DB224490}"/>
            </c:ext>
          </c:extLst>
        </c:ser>
        <c:ser>
          <c:idx val="3"/>
          <c:order val="2"/>
          <c:tx>
            <c:strRef>
              <c:f>Sheet1!$K$31</c:f>
              <c:strCache>
                <c:ptCount val="1"/>
              </c:strCache>
            </c:strRef>
          </c:tx>
          <c:errBars>
            <c:errDir val="y"/>
            <c:errBarType val="both"/>
            <c:errValType val="stdDev"/>
            <c:noEndCap val="0"/>
            <c:val val="1"/>
          </c:errBars>
          <c:xVal>
            <c:numRef>
              <c:f>Sheet1!$H$32:$H$36</c:f>
              <c:numCache>
                <c:formatCode>General</c:formatCode>
                <c:ptCount val="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6</c:v>
                </c:pt>
              </c:numCache>
            </c:numRef>
          </c:xVal>
          <c:yVal>
            <c:numRef>
              <c:f>Sheet1!$K$32:$K$36</c:f>
              <c:numCache>
                <c:formatCode>General</c:formatCode>
                <c:ptCount val="5"/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2-3CDF-47DB-98E7-BFD8DB224490}"/>
            </c:ext>
          </c:extLst>
        </c:ser>
        <c:ser>
          <c:idx val="2"/>
          <c:order val="3"/>
          <c:tx>
            <c:strRef>
              <c:f>Sheet1!$L$31</c:f>
              <c:strCache>
                <c:ptCount val="1"/>
                <c:pt idx="0">
                  <c:v>3) Спирогира + NH4+ ДСН</c:v>
                </c:pt>
              </c:strCache>
            </c:strRef>
          </c:tx>
          <c:errBars>
            <c:errDir val="y"/>
            <c:errBarType val="both"/>
            <c:errValType val="cust"/>
            <c:noEndCap val="0"/>
            <c:plus>
              <c:numRef>
                <c:f>Sheet1!$L$55:$L$58</c:f>
                <c:numCache>
                  <c:formatCode>General</c:formatCode>
                  <c:ptCount val="4"/>
                  <c:pt idx="0">
                    <c:v>0</c:v>
                  </c:pt>
                  <c:pt idx="1">
                    <c:v>2.4616711125481525</c:v>
                  </c:pt>
                  <c:pt idx="2">
                    <c:v>0.59224530487968963</c:v>
                  </c:pt>
                  <c:pt idx="3">
                    <c:v>3.808907929835907</c:v>
                  </c:pt>
                </c:numCache>
              </c:numRef>
            </c:plus>
            <c:minus>
              <c:numRef>
                <c:f>Sheet1!$L$55:$L$58</c:f>
                <c:numCache>
                  <c:formatCode>General</c:formatCode>
                  <c:ptCount val="4"/>
                  <c:pt idx="0">
                    <c:v>0</c:v>
                  </c:pt>
                  <c:pt idx="1">
                    <c:v>2.4616711125481525</c:v>
                  </c:pt>
                  <c:pt idx="2">
                    <c:v>0.59224530487968963</c:v>
                  </c:pt>
                  <c:pt idx="3">
                    <c:v>3.808907929835907</c:v>
                  </c:pt>
                </c:numCache>
              </c:numRef>
            </c:minus>
          </c:errBars>
          <c:xVal>
            <c:numRef>
              <c:f>Sheet1!$H$32:$H$36</c:f>
              <c:numCache>
                <c:formatCode>General</c:formatCode>
                <c:ptCount val="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6</c:v>
                </c:pt>
              </c:numCache>
            </c:numRef>
          </c:xVal>
          <c:yVal>
            <c:numRef>
              <c:f>Sheet1!$L$32:$L$36</c:f>
              <c:numCache>
                <c:formatCode>General</c:formatCode>
                <c:ptCount val="5"/>
                <c:pt idx="0">
                  <c:v>100</c:v>
                </c:pt>
                <c:pt idx="1">
                  <c:v>81.35855360655296</c:v>
                </c:pt>
                <c:pt idx="2">
                  <c:v>68.232694743081936</c:v>
                </c:pt>
                <c:pt idx="3">
                  <c:v>45.831379839948269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3-3CDF-47DB-98E7-BFD8DB22449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6779392"/>
        <c:axId val="106781312"/>
      </c:scatterChart>
      <c:valAx>
        <c:axId val="106779392"/>
        <c:scaling>
          <c:orientation val="minMax"/>
          <c:max val="6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Время, час</a:t>
                </a:r>
              </a:p>
            </c:rich>
          </c:tx>
          <c:layout>
            <c:manualLayout>
              <c:xMode val="edge"/>
              <c:yMode val="edge"/>
              <c:x val="0.4687890257880139"/>
              <c:y val="0.92298094293128952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crossAx val="106781312"/>
        <c:crosses val="autoZero"/>
        <c:crossBetween val="midCat"/>
      </c:valAx>
      <c:valAx>
        <c:axId val="106781312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Концентрация, % от исходного</a:t>
                </a:r>
              </a:p>
            </c:rich>
          </c:tx>
          <c:layout>
            <c:manualLayout>
              <c:xMode val="edge"/>
              <c:yMode val="edge"/>
              <c:x val="1.2374192362633438E-2"/>
              <c:y val="0.14809099523727501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crossAx val="106779392"/>
        <c:crosses val="autoZero"/>
        <c:crossBetween val="midCat"/>
      </c:valAx>
      <c:spPr>
        <a:noFill/>
        <a:ln w="25400">
          <a:noFill/>
        </a:ln>
      </c:spPr>
    </c:plotArea>
    <c:legend>
      <c:legendPos val="r"/>
      <c:legendEntry>
        <c:idx val="2"/>
        <c:delete val="1"/>
      </c:legendEntry>
      <c:layout>
        <c:manualLayout>
          <c:xMode val="edge"/>
          <c:yMode val="edge"/>
          <c:x val="0.75480020926094227"/>
          <c:y val="7.3774311274471427E-2"/>
          <c:w val="0.24340075563946884"/>
          <c:h val="0.80860855934674825"/>
        </c:manualLayout>
      </c:layout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000" b="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0.36267</cdr:x>
      <cdr:y>0.27017</cdr:y>
    </cdr:from>
    <cdr:to>
      <cdr:x>0.45345</cdr:x>
      <cdr:y>0.46609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3229918" y="1322081"/>
          <a:ext cx="808477" cy="95872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ru-RU" sz="1600" b="1"/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10</cp:revision>
  <dcterms:created xsi:type="dcterms:W3CDTF">2021-04-07T11:02:00Z</dcterms:created>
  <dcterms:modified xsi:type="dcterms:W3CDTF">2021-04-09T07:16:00Z</dcterms:modified>
</cp:coreProperties>
</file>