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088" w:rsidRDefault="00AC0A6E">
      <w:pPr>
        <w:spacing w:after="0" w:line="240" w:lineRule="auto"/>
        <w:jc w:val="both"/>
      </w:pPr>
      <w:r>
        <w:rPr>
          <w:rFonts w:ascii="Times New Roman" w:hAnsi="Times New Roman" w:cs="Times New Roman"/>
          <w:i/>
          <w:iCs/>
          <w:sz w:val="28"/>
          <w:szCs w:val="28"/>
        </w:rPr>
        <w:t>Бод</w:t>
      </w:r>
      <w:r w:rsidR="0044730B">
        <w:rPr>
          <w:rFonts w:ascii="Times New Roman" w:hAnsi="Times New Roman" w:cs="Times New Roman"/>
          <w:i/>
          <w:iCs/>
          <w:sz w:val="28"/>
          <w:szCs w:val="28"/>
        </w:rPr>
        <w:t>рова Ольга Алексеевна, пед</w:t>
      </w:r>
      <w:r w:rsidR="001B4241">
        <w:rPr>
          <w:rFonts w:ascii="Times New Roman" w:hAnsi="Times New Roman" w:cs="Times New Roman"/>
          <w:i/>
          <w:iCs/>
          <w:sz w:val="28"/>
          <w:szCs w:val="28"/>
        </w:rPr>
        <w:t>агог-организатор</w:t>
      </w:r>
      <w:r w:rsidR="0044730B">
        <w:rPr>
          <w:rFonts w:ascii="Times New Roman" w:hAnsi="Times New Roman" w:cs="Times New Roman"/>
          <w:i/>
          <w:iCs/>
          <w:sz w:val="28"/>
          <w:szCs w:val="28"/>
        </w:rPr>
        <w:t xml:space="preserve"> МОУ ДО </w:t>
      </w:r>
      <w:proofErr w:type="spellStart"/>
      <w:r w:rsidR="0044730B">
        <w:rPr>
          <w:rFonts w:ascii="Times New Roman" w:hAnsi="Times New Roman" w:cs="Times New Roman"/>
          <w:i/>
          <w:iCs/>
          <w:sz w:val="28"/>
          <w:szCs w:val="28"/>
        </w:rPr>
        <w:t>ЯрЮЦ</w:t>
      </w:r>
      <w:proofErr w:type="spellEnd"/>
      <w:r w:rsidR="0044730B">
        <w:rPr>
          <w:rFonts w:ascii="Times New Roman" w:hAnsi="Times New Roman" w:cs="Times New Roman"/>
          <w:i/>
          <w:iCs/>
          <w:sz w:val="28"/>
          <w:szCs w:val="28"/>
        </w:rPr>
        <w:t xml:space="preserve"> «Радуга»</w:t>
      </w:r>
      <w:r>
        <w:rPr>
          <w:rFonts w:ascii="Times New Roman" w:eastAsia="Times New Roman CYR" w:hAnsi="Times New Roman" w:cs="Times New Roman"/>
          <w:i/>
          <w:iCs/>
          <w:sz w:val="28"/>
          <w:szCs w:val="28"/>
        </w:rPr>
        <w:t>,</w:t>
      </w:r>
      <w:r>
        <w:rPr>
          <w:rFonts w:ascii="Times New Roman" w:hAnsi="Times New Roman" w:cs="Times New Roman"/>
          <w:i/>
          <w:iCs/>
          <w:sz w:val="28"/>
          <w:szCs w:val="28"/>
        </w:rPr>
        <w:t xml:space="preserve"> </w:t>
      </w:r>
      <w:r w:rsidR="0044730B">
        <w:rPr>
          <w:rFonts w:ascii="Times New Roman" w:hAnsi="Times New Roman" w:cs="Times New Roman"/>
          <w:i/>
          <w:iCs/>
          <w:sz w:val="28"/>
          <w:szCs w:val="28"/>
        </w:rPr>
        <w:t xml:space="preserve">г. Ярославль, </w:t>
      </w:r>
      <w:r>
        <w:rPr>
          <w:rFonts w:ascii="Times New Roman" w:hAnsi="Times New Roman" w:cs="Times New Roman"/>
          <w:i/>
          <w:iCs/>
          <w:sz w:val="28"/>
          <w:szCs w:val="28"/>
          <w:lang w:val="en-US"/>
        </w:rPr>
        <w:t>e</w:t>
      </w:r>
      <w:r w:rsidRPr="00EA3C90">
        <w:rPr>
          <w:rFonts w:ascii="Times New Roman" w:hAnsi="Times New Roman" w:cs="Times New Roman"/>
          <w:i/>
          <w:iCs/>
          <w:sz w:val="28"/>
          <w:szCs w:val="28"/>
        </w:rPr>
        <w:t>-</w:t>
      </w:r>
      <w:r>
        <w:rPr>
          <w:rFonts w:ascii="Times New Roman" w:hAnsi="Times New Roman" w:cs="Times New Roman"/>
          <w:i/>
          <w:iCs/>
          <w:sz w:val="28"/>
          <w:szCs w:val="28"/>
          <w:lang w:val="en-US"/>
        </w:rPr>
        <w:t>mail</w:t>
      </w:r>
      <w:r>
        <w:rPr>
          <w:rFonts w:ascii="Times New Roman" w:hAnsi="Times New Roman" w:cs="Times New Roman"/>
          <w:i/>
          <w:iCs/>
          <w:sz w:val="28"/>
          <w:szCs w:val="28"/>
        </w:rPr>
        <w:t xml:space="preserve">: </w:t>
      </w:r>
      <w:r>
        <w:rPr>
          <w:rFonts w:ascii="Times New Roman" w:hAnsi="Times New Roman" w:cs="Times New Roman"/>
          <w:i/>
          <w:iCs/>
          <w:color w:val="333333"/>
          <w:sz w:val="28"/>
          <w:szCs w:val="28"/>
        </w:rPr>
        <w:t>bodrova-olya@mail.ru</w:t>
      </w:r>
      <w:r>
        <w:rPr>
          <w:rFonts w:ascii="Times New Roman" w:hAnsi="Times New Roman" w:cs="Times New Roman"/>
          <w:i/>
          <w:iCs/>
          <w:sz w:val="28"/>
          <w:szCs w:val="28"/>
        </w:rPr>
        <w:t xml:space="preserve"> </w:t>
      </w:r>
    </w:p>
    <w:p w:rsidR="00AC4088" w:rsidRDefault="00AC0A6E">
      <w:pPr>
        <w:spacing w:after="0" w:line="240" w:lineRule="auto"/>
        <w:jc w:val="both"/>
      </w:pPr>
      <w:proofErr w:type="spellStart"/>
      <w:r>
        <w:rPr>
          <w:rFonts w:ascii="Times New Roman" w:hAnsi="Times New Roman" w:cs="Times New Roman"/>
          <w:i/>
          <w:iCs/>
          <w:sz w:val="28"/>
          <w:szCs w:val="28"/>
        </w:rPr>
        <w:t>Жибарева</w:t>
      </w:r>
      <w:proofErr w:type="spellEnd"/>
      <w:r>
        <w:rPr>
          <w:rFonts w:ascii="Times New Roman" w:hAnsi="Times New Roman" w:cs="Times New Roman"/>
          <w:i/>
          <w:iCs/>
          <w:sz w:val="28"/>
          <w:szCs w:val="28"/>
        </w:rPr>
        <w:t xml:space="preserve"> Лариса Александровна, методист ГОУ ДО ЯО </w:t>
      </w:r>
      <w:proofErr w:type="spellStart"/>
      <w:r>
        <w:rPr>
          <w:rFonts w:ascii="Times New Roman" w:hAnsi="Times New Roman" w:cs="Times New Roman"/>
          <w:i/>
          <w:iCs/>
          <w:sz w:val="28"/>
          <w:szCs w:val="28"/>
        </w:rPr>
        <w:t>ЦДЮТурЭк</w:t>
      </w:r>
      <w:proofErr w:type="spellEnd"/>
      <w:r>
        <w:rPr>
          <w:rFonts w:ascii="Times New Roman" w:hAnsi="Times New Roman" w:cs="Times New Roman"/>
          <w:i/>
          <w:iCs/>
          <w:sz w:val="28"/>
          <w:szCs w:val="28"/>
        </w:rPr>
        <w:t xml:space="preserve">, г. Ярославль, </w:t>
      </w:r>
      <w:r>
        <w:rPr>
          <w:rFonts w:ascii="Times New Roman" w:hAnsi="Times New Roman" w:cs="Times New Roman"/>
          <w:i/>
          <w:iCs/>
          <w:sz w:val="28"/>
          <w:szCs w:val="28"/>
          <w:lang w:val="en-US"/>
        </w:rPr>
        <w:t>e</w:t>
      </w:r>
      <w:r w:rsidRPr="00EA3C90">
        <w:rPr>
          <w:rFonts w:ascii="Times New Roman" w:hAnsi="Times New Roman" w:cs="Times New Roman"/>
          <w:i/>
          <w:iCs/>
          <w:sz w:val="28"/>
          <w:szCs w:val="28"/>
        </w:rPr>
        <w:t>-</w:t>
      </w:r>
      <w:r>
        <w:rPr>
          <w:rFonts w:ascii="Times New Roman" w:hAnsi="Times New Roman" w:cs="Times New Roman"/>
          <w:i/>
          <w:iCs/>
          <w:sz w:val="28"/>
          <w:szCs w:val="28"/>
          <w:lang w:val="en-US"/>
        </w:rPr>
        <w:t>mail</w:t>
      </w:r>
      <w:r>
        <w:rPr>
          <w:rFonts w:ascii="Times New Roman" w:hAnsi="Times New Roman" w:cs="Times New Roman"/>
          <w:i/>
          <w:iCs/>
          <w:sz w:val="28"/>
          <w:szCs w:val="28"/>
        </w:rPr>
        <w:t xml:space="preserve">: </w:t>
      </w:r>
      <w:proofErr w:type="spellStart"/>
      <w:r>
        <w:rPr>
          <w:rFonts w:ascii="Times New Roman" w:hAnsi="Times New Roman" w:cs="Times New Roman"/>
          <w:i/>
          <w:iCs/>
          <w:sz w:val="28"/>
          <w:szCs w:val="28"/>
          <w:lang w:val="en-US"/>
        </w:rPr>
        <w:t>larisa</w:t>
      </w:r>
      <w:proofErr w:type="spellEnd"/>
      <w:r w:rsidRPr="00EA3C90">
        <w:rPr>
          <w:rFonts w:ascii="Times New Roman" w:hAnsi="Times New Roman" w:cs="Times New Roman"/>
          <w:i/>
          <w:iCs/>
          <w:sz w:val="28"/>
          <w:szCs w:val="28"/>
        </w:rPr>
        <w:t>.</w:t>
      </w:r>
      <w:proofErr w:type="spellStart"/>
      <w:r>
        <w:rPr>
          <w:rFonts w:ascii="Times New Roman" w:hAnsi="Times New Roman" w:cs="Times New Roman"/>
          <w:i/>
          <w:iCs/>
          <w:sz w:val="28"/>
          <w:szCs w:val="28"/>
          <w:lang w:val="en-US"/>
        </w:rPr>
        <w:t>zhibareva</w:t>
      </w:r>
      <w:proofErr w:type="spellEnd"/>
      <w:r w:rsidRPr="00EA3C90">
        <w:rPr>
          <w:rFonts w:ascii="Times New Roman" w:hAnsi="Times New Roman" w:cs="Times New Roman"/>
          <w:i/>
          <w:iCs/>
          <w:sz w:val="28"/>
          <w:szCs w:val="28"/>
        </w:rPr>
        <w:t>@</w:t>
      </w:r>
      <w:r>
        <w:rPr>
          <w:rFonts w:ascii="Times New Roman" w:hAnsi="Times New Roman" w:cs="Times New Roman"/>
          <w:i/>
          <w:iCs/>
          <w:sz w:val="28"/>
          <w:szCs w:val="28"/>
          <w:lang w:val="en-US"/>
        </w:rPr>
        <w:t>mail</w:t>
      </w:r>
      <w:r w:rsidRPr="00EA3C90">
        <w:rPr>
          <w:rFonts w:ascii="Times New Roman" w:hAnsi="Times New Roman" w:cs="Times New Roman"/>
          <w:i/>
          <w:iCs/>
          <w:sz w:val="28"/>
          <w:szCs w:val="28"/>
        </w:rPr>
        <w:t>.</w:t>
      </w:r>
      <w:proofErr w:type="spellStart"/>
      <w:r>
        <w:rPr>
          <w:rFonts w:ascii="Times New Roman" w:hAnsi="Times New Roman" w:cs="Times New Roman"/>
          <w:i/>
          <w:iCs/>
          <w:sz w:val="28"/>
          <w:szCs w:val="28"/>
          <w:lang w:val="en-US"/>
        </w:rPr>
        <w:t>ru</w:t>
      </w:r>
      <w:proofErr w:type="spellEnd"/>
    </w:p>
    <w:p w:rsidR="00AC4088" w:rsidRDefault="00AC0A6E">
      <w:pPr>
        <w:jc w:val="right"/>
        <w:rPr>
          <w:rFonts w:ascii="Times New Roman" w:hAnsi="Times New Roman" w:cs="Times New Roman"/>
          <w:sz w:val="28"/>
          <w:szCs w:val="28"/>
        </w:rPr>
      </w:pPr>
      <w:r>
        <w:rPr>
          <w:rFonts w:ascii="Times New Roman" w:eastAsia="Times New Roman CYR" w:hAnsi="Times New Roman" w:cs="Times New Roman"/>
          <w:sz w:val="28"/>
          <w:szCs w:val="28"/>
        </w:rPr>
        <w:t xml:space="preserve">                                                                   </w:t>
      </w:r>
    </w:p>
    <w:p w:rsidR="00AC4088" w:rsidRDefault="00AC0A6E">
      <w:pPr>
        <w:pStyle w:val="a6"/>
        <w:shd w:val="clear" w:color="auto" w:fill="FFFFFF"/>
        <w:spacing w:after="0" w:line="240" w:lineRule="auto"/>
        <w:ind w:firstLine="397"/>
        <w:jc w:val="center"/>
        <w:rPr>
          <w:rFonts w:ascii="Times New Roman" w:hAnsi="Times New Roman" w:cs="Times New Roman"/>
          <w:b/>
          <w:sz w:val="28"/>
          <w:szCs w:val="28"/>
        </w:rPr>
      </w:pPr>
      <w:r>
        <w:rPr>
          <w:rFonts w:ascii="Times New Roman" w:hAnsi="Times New Roman" w:cs="Times New Roman"/>
          <w:b/>
          <w:sz w:val="28"/>
          <w:szCs w:val="28"/>
        </w:rPr>
        <w:t xml:space="preserve">Диагностика мотивации и групповой сплочённости обучающихся </w:t>
      </w:r>
    </w:p>
    <w:p w:rsidR="00AC4088" w:rsidRDefault="00AC0A6E">
      <w:pPr>
        <w:pStyle w:val="a6"/>
        <w:shd w:val="clear" w:color="auto" w:fill="FFFFFF"/>
        <w:spacing w:after="0" w:line="240" w:lineRule="auto"/>
        <w:ind w:firstLine="397"/>
        <w:jc w:val="center"/>
        <w:rPr>
          <w:rFonts w:ascii="Times New Roman" w:hAnsi="Times New Roman" w:cs="Times New Roman"/>
          <w:b/>
          <w:sz w:val="28"/>
          <w:szCs w:val="28"/>
        </w:rPr>
      </w:pPr>
      <w:r>
        <w:rPr>
          <w:rFonts w:ascii="Times New Roman" w:hAnsi="Times New Roman" w:cs="Times New Roman"/>
          <w:b/>
          <w:sz w:val="28"/>
          <w:szCs w:val="28"/>
        </w:rPr>
        <w:t>в</w:t>
      </w:r>
      <w:r>
        <w:rPr>
          <w:rFonts w:ascii="Times New Roman;serif" w:hAnsi="Times New Roman;serif"/>
          <w:b/>
          <w:color w:val="000000"/>
          <w:sz w:val="28"/>
          <w:szCs w:val="28"/>
        </w:rPr>
        <w:t xml:space="preserve"> детском объединении экологического профиля</w:t>
      </w:r>
    </w:p>
    <w:p w:rsidR="00AC4088" w:rsidRDefault="00AC4088">
      <w:pPr>
        <w:spacing w:after="0" w:line="360" w:lineRule="auto"/>
        <w:jc w:val="both"/>
        <w:rPr>
          <w:rFonts w:ascii="Times New Roman" w:hAnsi="Times New Roman" w:cs="Times New Roman"/>
          <w:color w:val="000000"/>
          <w:sz w:val="24"/>
          <w:szCs w:val="24"/>
        </w:rPr>
      </w:pPr>
    </w:p>
    <w:p w:rsidR="00AC4088" w:rsidRDefault="00AC0A6E">
      <w:pPr>
        <w:pStyle w:val="a6"/>
        <w:shd w:val="clear" w:color="auto" w:fill="FFFFFF"/>
        <w:spacing w:after="0" w:line="240" w:lineRule="auto"/>
        <w:ind w:firstLine="397"/>
        <w:jc w:val="both"/>
      </w:pPr>
      <w:r>
        <w:rPr>
          <w:rFonts w:ascii="Times New Roman" w:hAnsi="Times New Roman" w:cs="Times New Roman"/>
          <w:i/>
          <w:color w:val="000000"/>
          <w:sz w:val="28"/>
          <w:szCs w:val="28"/>
        </w:rPr>
        <w:t xml:space="preserve">Аннотация: </w:t>
      </w:r>
      <w:bookmarkStart w:id="0" w:name="_GoBack"/>
      <w:r>
        <w:rPr>
          <w:rFonts w:ascii="Times New Roman" w:hAnsi="Times New Roman" w:cs="Times New Roman"/>
          <w:i/>
          <w:iCs/>
          <w:color w:val="auto"/>
          <w:sz w:val="28"/>
          <w:szCs w:val="28"/>
        </w:rPr>
        <w:t xml:space="preserve">в статье представлены результаты диагностики </w:t>
      </w:r>
      <w:proofErr w:type="gramStart"/>
      <w:r>
        <w:rPr>
          <w:rFonts w:ascii="Times New Roman" w:hAnsi="Times New Roman" w:cs="Times New Roman"/>
          <w:i/>
          <w:iCs/>
          <w:color w:val="auto"/>
          <w:sz w:val="28"/>
          <w:szCs w:val="28"/>
        </w:rPr>
        <w:t>мотивации обучения и групповой сплочённости</w:t>
      </w:r>
      <w:proofErr w:type="gramEnd"/>
      <w:r>
        <w:rPr>
          <w:rFonts w:ascii="Times New Roman" w:hAnsi="Times New Roman" w:cs="Times New Roman"/>
          <w:i/>
          <w:iCs/>
          <w:color w:val="auto"/>
          <w:sz w:val="28"/>
          <w:szCs w:val="28"/>
        </w:rPr>
        <w:t xml:space="preserve"> </w:t>
      </w:r>
      <w:r>
        <w:rPr>
          <w:rFonts w:ascii="Times New Roman;serif" w:hAnsi="Times New Roman;serif"/>
          <w:i/>
          <w:iCs/>
          <w:color w:val="auto"/>
          <w:sz w:val="28"/>
          <w:szCs w:val="28"/>
        </w:rPr>
        <w:t>обучающихся на первом и на втором годах обучения по образовательной п</w:t>
      </w:r>
      <w:r w:rsidR="00EA3C90">
        <w:rPr>
          <w:rFonts w:ascii="Times New Roman;serif" w:hAnsi="Times New Roman;serif"/>
          <w:i/>
          <w:iCs/>
          <w:color w:val="auto"/>
          <w:sz w:val="28"/>
          <w:szCs w:val="28"/>
        </w:rPr>
        <w:t xml:space="preserve">рограмме экологического профиля; </w:t>
      </w:r>
      <w:r>
        <w:rPr>
          <w:rFonts w:ascii="Times New Roman;serif" w:hAnsi="Times New Roman;serif"/>
          <w:i/>
          <w:iCs/>
          <w:color w:val="auto"/>
          <w:sz w:val="28"/>
          <w:szCs w:val="28"/>
        </w:rPr>
        <w:t>описаны выявленные проблемы в детском объединении и предложены пути их решения.</w:t>
      </w:r>
    </w:p>
    <w:bookmarkEnd w:id="0"/>
    <w:p w:rsidR="00AC4088" w:rsidRDefault="00AC4088">
      <w:pPr>
        <w:spacing w:after="0" w:line="240" w:lineRule="auto"/>
        <w:ind w:firstLine="397"/>
        <w:jc w:val="both"/>
        <w:rPr>
          <w:rFonts w:ascii="Times New Roman" w:hAnsi="Times New Roman" w:cs="Times New Roman"/>
          <w:i/>
          <w:color w:val="000000"/>
          <w:sz w:val="28"/>
          <w:szCs w:val="28"/>
        </w:rPr>
      </w:pPr>
    </w:p>
    <w:p w:rsidR="00AC4088" w:rsidRDefault="00AC0A6E">
      <w:pPr>
        <w:spacing w:after="0" w:line="240" w:lineRule="auto"/>
        <w:ind w:firstLine="397"/>
        <w:jc w:val="both"/>
      </w:pPr>
      <w:r>
        <w:rPr>
          <w:rFonts w:ascii="Times New Roman" w:hAnsi="Times New Roman" w:cs="Times New Roman"/>
          <w:i/>
          <w:color w:val="000000"/>
          <w:sz w:val="28"/>
          <w:szCs w:val="28"/>
        </w:rPr>
        <w:t>Ключевые слова: мотивация обучения, групповая сплочённость, образовательная программа.</w:t>
      </w:r>
    </w:p>
    <w:p w:rsidR="00AC4088" w:rsidRDefault="00AC4088">
      <w:pPr>
        <w:spacing w:after="0" w:line="240" w:lineRule="auto"/>
        <w:ind w:firstLine="397"/>
        <w:jc w:val="both"/>
        <w:rPr>
          <w:rFonts w:ascii="Times New Roman" w:hAnsi="Times New Roman" w:cs="Times New Roman"/>
          <w:i/>
          <w:color w:val="000000"/>
          <w:sz w:val="28"/>
          <w:szCs w:val="28"/>
        </w:rPr>
      </w:pPr>
    </w:p>
    <w:p w:rsidR="00AC4088" w:rsidRDefault="00AC0A6E">
      <w:pPr>
        <w:spacing w:after="0" w:line="240" w:lineRule="auto"/>
        <w:ind w:firstLine="397"/>
        <w:jc w:val="both"/>
      </w:pPr>
      <w:r>
        <w:rPr>
          <w:rFonts w:ascii="Times New Roman" w:hAnsi="Times New Roman" w:cs="Times New Roman"/>
          <w:color w:val="000000"/>
          <w:sz w:val="28"/>
          <w:szCs w:val="28"/>
        </w:rPr>
        <w:t>Одним из значимых критериев деятельности детского объединения является уровень мотивации к изучению предмета. Понимание значимости устойчивой мотивации к изучению предмета для успешности освоения общеобразовательной программы побудило нас провести диагностику мотивации обучающихся в двух группах (первого и второго года обучения по программе). При этом мы ставили следующие задачи:</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 xml:space="preserve">1. Подобрать и адаптировать к условиям детского объединения методику для изучения </w:t>
      </w:r>
      <w:proofErr w:type="gramStart"/>
      <w:r>
        <w:rPr>
          <w:rFonts w:ascii="Times New Roman;serif" w:hAnsi="Times New Roman;serif"/>
          <w:color w:val="000000"/>
          <w:sz w:val="28"/>
          <w:szCs w:val="28"/>
        </w:rPr>
        <w:t>мотивации</w:t>
      </w:r>
      <w:proofErr w:type="gramEnd"/>
      <w:r>
        <w:rPr>
          <w:rFonts w:ascii="Times New Roman;serif" w:hAnsi="Times New Roman;serif"/>
          <w:color w:val="000000"/>
          <w:sz w:val="28"/>
          <w:szCs w:val="28"/>
        </w:rPr>
        <w:t xml:space="preserve"> обучающихся к посещению детского объединения.</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2. Продиагностировать мотивацию обучающихся к изучению экологии на первом и на втором годах обучения по образовательной программе экологического профиля.</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bCs/>
          <w:color w:val="000000"/>
          <w:sz w:val="28"/>
          <w:szCs w:val="28"/>
        </w:rPr>
        <w:t xml:space="preserve">3. </w:t>
      </w:r>
      <w:r>
        <w:rPr>
          <w:rFonts w:ascii="Times New Roman;serif" w:hAnsi="Times New Roman;serif"/>
          <w:color w:val="000000"/>
          <w:sz w:val="28"/>
          <w:szCs w:val="28"/>
        </w:rPr>
        <w:t>Проанализировать полученные результаты, выявить имеющиеся проблемы, сделать соответствующие выводы.</w:t>
      </w:r>
    </w:p>
    <w:p w:rsidR="00AC4088" w:rsidRDefault="00AC0A6E">
      <w:pPr>
        <w:pStyle w:val="a6"/>
        <w:shd w:val="clear" w:color="auto" w:fill="FFFFFF"/>
        <w:spacing w:after="0" w:line="240" w:lineRule="auto"/>
        <w:ind w:firstLine="397"/>
        <w:jc w:val="both"/>
        <w:rPr>
          <w:rFonts w:ascii="Times New Roman;serif" w:hAnsi="Times New Roman;serif"/>
          <w:color w:val="000000"/>
          <w:sz w:val="28"/>
          <w:szCs w:val="28"/>
        </w:rPr>
      </w:pPr>
      <w:r>
        <w:rPr>
          <w:rFonts w:ascii="Times New Roman;serif" w:hAnsi="Times New Roman;serif"/>
          <w:color w:val="000000"/>
          <w:sz w:val="28"/>
          <w:szCs w:val="28"/>
        </w:rPr>
        <w:t>Для диагностика мотивации в группах детского объединения нами была выбрана и адаптирована методика Н.Г. </w:t>
      </w:r>
      <w:proofErr w:type="spellStart"/>
      <w:r>
        <w:rPr>
          <w:rFonts w:ascii="Times New Roman;serif" w:hAnsi="Times New Roman;serif"/>
          <w:color w:val="000000"/>
          <w:sz w:val="28"/>
          <w:szCs w:val="28"/>
        </w:rPr>
        <w:t>Лускановой</w:t>
      </w:r>
      <w:proofErr w:type="spellEnd"/>
      <w:r>
        <w:rPr>
          <w:rFonts w:ascii="Times New Roman;serif" w:hAnsi="Times New Roman;serif"/>
          <w:color w:val="000000"/>
          <w:sz w:val="28"/>
          <w:szCs w:val="28"/>
        </w:rPr>
        <w:t xml:space="preserve"> для оценки мотивации обучающихся в начальных классах школы. Диагностируемые являлись младшими школьниками. </w:t>
      </w:r>
    </w:p>
    <w:p w:rsidR="00AC4088" w:rsidRDefault="00AC0A6E">
      <w:pPr>
        <w:pStyle w:val="a6"/>
        <w:shd w:val="clear" w:color="auto" w:fill="FFFFFF"/>
        <w:spacing w:after="0" w:line="240" w:lineRule="auto"/>
        <w:ind w:firstLine="397"/>
        <w:jc w:val="both"/>
      </w:pPr>
      <w:r>
        <w:rPr>
          <w:rFonts w:ascii="Times New Roman;serif" w:hAnsi="Times New Roman;serif"/>
          <w:color w:val="000000"/>
          <w:sz w:val="28"/>
          <w:szCs w:val="28"/>
        </w:rPr>
        <w:t xml:space="preserve">Детям в обеих группах было предложено пройти тест-опрос, где необходимо выбрать один из трёх предложенных вариантов ответов на каждый из десяти (наиболее подходящий для ребёнка) и обвести его. </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 xml:space="preserve">Каждый ответ ребёнка, свидетельствующий о его положительном отношении к детскому объединению, оценивался в три балла; нейтральный ответ оценивался в один балл; ответ, позволяющий судить об </w:t>
      </w:r>
      <w:r>
        <w:rPr>
          <w:rFonts w:ascii="Times New Roman;serif" w:hAnsi="Times New Roman;serif"/>
          <w:color w:val="000000"/>
          <w:sz w:val="28"/>
          <w:szCs w:val="28"/>
        </w:rPr>
        <w:lastRenderedPageBreak/>
        <w:t>отрицательном отношении ребёнка к детскому объединению, оценивался в ноль баллов.</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 xml:space="preserve">После </w:t>
      </w:r>
      <w:proofErr w:type="gramStart"/>
      <w:r>
        <w:rPr>
          <w:rFonts w:ascii="Times New Roman;serif" w:hAnsi="Times New Roman;serif"/>
          <w:color w:val="000000"/>
          <w:sz w:val="28"/>
          <w:szCs w:val="28"/>
        </w:rPr>
        <w:t>фиксации и обработки результатов</w:t>
      </w:r>
      <w:proofErr w:type="gramEnd"/>
      <w:r>
        <w:rPr>
          <w:rFonts w:ascii="Times New Roman;serif" w:hAnsi="Times New Roman;serif"/>
          <w:color w:val="000000"/>
          <w:sz w:val="28"/>
          <w:szCs w:val="28"/>
        </w:rPr>
        <w:t xml:space="preserve"> обучающиеся в обеих группах были разделены на пять основных уровней учебной мотивации по предмету (в соответствии с методикой).</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В группе первого года обучения по образовательной программе экологического профиля получены следующие результаты (из 15 опрошенных):</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4 человека - второй уровень (20-24 балла - хорошая учебная мотивация);</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9 человек - третий уровень (15-19 баллов -  положительное отношение, но далеко не всё привлекает);</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1 человек - четвёртый уровень (10-14 баллов - низкая учебная мотивация);</w:t>
      </w:r>
    </w:p>
    <w:p w:rsidR="00AC4088" w:rsidRDefault="00AC0A6E">
      <w:pPr>
        <w:pStyle w:val="a6"/>
        <w:shd w:val="clear" w:color="auto" w:fill="FFFFFF"/>
        <w:spacing w:after="0" w:line="240" w:lineRule="auto"/>
        <w:ind w:firstLine="397"/>
        <w:jc w:val="both"/>
      </w:pPr>
      <w:r>
        <w:rPr>
          <w:rFonts w:ascii="Times New Roman;serif" w:hAnsi="Times New Roman;serif"/>
          <w:color w:val="000000"/>
          <w:sz w:val="28"/>
          <w:szCs w:val="28"/>
        </w:rPr>
        <w:t>1 человек - пятый уровень (ниже 10 баллов - негативное отношение к детскому объединению).</w:t>
      </w:r>
    </w:p>
    <w:p w:rsidR="00AC4088" w:rsidRDefault="00AC4088">
      <w:pPr>
        <w:pStyle w:val="a6"/>
        <w:shd w:val="clear" w:color="auto" w:fill="FFFFFF"/>
        <w:spacing w:after="0" w:line="240" w:lineRule="auto"/>
        <w:ind w:firstLine="397"/>
        <w:jc w:val="both"/>
        <w:rPr>
          <w:rFonts w:ascii="Times New Roman;serif" w:hAnsi="Times New Roman;serif"/>
          <w:color w:val="FF0000"/>
          <w:sz w:val="28"/>
          <w:szCs w:val="28"/>
        </w:rPr>
      </w:pPr>
    </w:p>
    <w:p w:rsidR="008D1994" w:rsidRPr="005025C6" w:rsidRDefault="00AC0A6E" w:rsidP="005025C6">
      <w:pPr>
        <w:pStyle w:val="a6"/>
        <w:shd w:val="clear" w:color="auto" w:fill="FFFFFF"/>
        <w:spacing w:before="120" w:after="0" w:line="360" w:lineRule="auto"/>
        <w:jc w:val="center"/>
      </w:pPr>
      <w:r>
        <w:rPr>
          <w:noProof/>
          <w:lang w:eastAsia="ru-RU"/>
        </w:rPr>
        <w:drawing>
          <wp:inline distT="0" distB="0" distL="0" distR="0">
            <wp:extent cx="4591050" cy="2190750"/>
            <wp:effectExtent l="0" t="0" r="0" b="0"/>
            <wp:docPr id="1" name="Объект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AC4088" w:rsidRDefault="00AC0A6E">
      <w:pPr>
        <w:pStyle w:val="a6"/>
        <w:shd w:val="clear" w:color="auto" w:fill="FFFFFF"/>
        <w:spacing w:before="120" w:after="0" w:line="360" w:lineRule="auto"/>
        <w:jc w:val="center"/>
      </w:pPr>
      <w:r>
        <w:rPr>
          <w:rFonts w:ascii="Times New Roman" w:hAnsi="Times New Roman" w:cs="Times New Roman"/>
          <w:b/>
          <w:sz w:val="28"/>
          <w:szCs w:val="28"/>
        </w:rPr>
        <w:t>Рис.1. Результаты тест-опроса в группе первого года обучения</w:t>
      </w:r>
    </w:p>
    <w:p w:rsidR="00AC4088" w:rsidRDefault="00AC0A6E">
      <w:pPr>
        <w:shd w:val="clear" w:color="auto" w:fill="FFFFFF"/>
        <w:spacing w:after="0" w:line="240" w:lineRule="auto"/>
        <w:ind w:firstLine="397"/>
        <w:jc w:val="both"/>
        <w:rPr>
          <w:sz w:val="28"/>
          <w:szCs w:val="28"/>
        </w:rPr>
      </w:pPr>
      <w:r>
        <w:rPr>
          <w:rFonts w:ascii="Times New Roman;serif" w:hAnsi="Times New Roman;serif"/>
          <w:color w:val="000000"/>
          <w:sz w:val="28"/>
          <w:szCs w:val="28"/>
        </w:rPr>
        <w:t>В группе второго года обучения по образовательной программе экологического профиля по</w:t>
      </w:r>
      <w:r w:rsidR="00115F49">
        <w:rPr>
          <w:rFonts w:ascii="Times New Roman;serif" w:hAnsi="Times New Roman;serif"/>
          <w:color w:val="000000"/>
          <w:sz w:val="28"/>
          <w:szCs w:val="28"/>
        </w:rPr>
        <w:t xml:space="preserve">лучены следующие результаты (из </w:t>
      </w:r>
      <w:r>
        <w:rPr>
          <w:rFonts w:ascii="Times New Roman;serif" w:hAnsi="Times New Roman;serif"/>
          <w:color w:val="000000"/>
          <w:sz w:val="28"/>
          <w:szCs w:val="28"/>
        </w:rPr>
        <w:t>15 опрошенных):</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5 человек - первый уровень (25-30 баллов - высокий уровень учебной мотивации);</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6 человек - второй уровень (20-24 балла - хорошая учебная мотивация);</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3 человека - третий уровень (15-19 баллов - положительное отношение, но далеко не всё привлекает);</w:t>
      </w:r>
    </w:p>
    <w:p w:rsidR="00AC4088" w:rsidRDefault="00AC0A6E">
      <w:pPr>
        <w:pStyle w:val="a6"/>
        <w:shd w:val="clear" w:color="auto" w:fill="FFFFFF"/>
        <w:spacing w:after="0" w:line="240" w:lineRule="auto"/>
        <w:ind w:firstLine="397"/>
        <w:jc w:val="both"/>
      </w:pPr>
      <w:r>
        <w:rPr>
          <w:rFonts w:ascii="Times New Roman;serif" w:hAnsi="Times New Roman;serif"/>
          <w:color w:val="000000"/>
          <w:sz w:val="28"/>
          <w:szCs w:val="28"/>
        </w:rPr>
        <w:t>1 человек - четвёртый уровень (10-14 баллов - низкая учебная мотивация).</w:t>
      </w:r>
    </w:p>
    <w:p w:rsidR="00AC4088" w:rsidRDefault="00AC0A6E">
      <w:pPr>
        <w:pStyle w:val="a6"/>
        <w:shd w:val="clear" w:color="auto" w:fill="FFFFFF"/>
        <w:spacing w:before="120" w:after="0" w:line="360" w:lineRule="auto"/>
        <w:jc w:val="center"/>
        <w:rPr>
          <w:sz w:val="28"/>
          <w:szCs w:val="28"/>
        </w:rPr>
      </w:pPr>
      <w:r>
        <w:rPr>
          <w:noProof/>
          <w:lang w:eastAsia="ru-RU"/>
        </w:rPr>
        <w:lastRenderedPageBreak/>
        <w:drawing>
          <wp:inline distT="0" distB="0" distL="0" distR="0">
            <wp:extent cx="4562475" cy="2219325"/>
            <wp:effectExtent l="0" t="0" r="0" b="0"/>
            <wp:docPr id="2" name="Объект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C4088" w:rsidRDefault="00AC0A6E">
      <w:pPr>
        <w:pStyle w:val="a6"/>
        <w:shd w:val="clear" w:color="auto" w:fill="FFFFFF"/>
        <w:spacing w:before="120" w:after="0" w:line="360" w:lineRule="auto"/>
        <w:jc w:val="center"/>
        <w:rPr>
          <w:rFonts w:ascii="Times New Roman" w:hAnsi="Times New Roman" w:cs="Times New Roman"/>
          <w:b/>
          <w:sz w:val="28"/>
          <w:szCs w:val="28"/>
        </w:rPr>
      </w:pPr>
      <w:r>
        <w:rPr>
          <w:rFonts w:ascii="Times New Roman" w:hAnsi="Times New Roman" w:cs="Times New Roman"/>
          <w:b/>
          <w:sz w:val="28"/>
          <w:szCs w:val="28"/>
        </w:rPr>
        <w:t>Рис.2. Результаты тест-опроса в группе второго года обучения</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Как показал анализ данных, уровень учебной мотивации у учащихся второго года обучения, осваивающих программу экологического профиля, в среднем оказался намного выше, чем в группе первого года обучения. При этом обучающиеся работали в одинаковых условиях, всё время занятия детского объединения проводил один и тот же педагог. Можно сделать вывод, что в детском объединении постепенно растёт уровень познавательного интереса при целенаправленной и регулярной деятельности по его развитию. Постепенно достигается более высокий уровень познавательного интереса, что, соответственно, влечёт за собой качественный рост результатов обучения.</w:t>
      </w:r>
      <w:r>
        <w:rPr>
          <w:rFonts w:ascii="Open Sans;sans-serif" w:hAnsi="Open Sans;sans-serif"/>
          <w:color w:val="000000"/>
          <w:sz w:val="28"/>
          <w:szCs w:val="28"/>
        </w:rPr>
        <w:t xml:space="preserve"> </w:t>
      </w:r>
    </w:p>
    <w:p w:rsidR="00AC4088" w:rsidRDefault="00AC0A6E">
      <w:pPr>
        <w:pStyle w:val="a6"/>
        <w:spacing w:after="0" w:line="240" w:lineRule="auto"/>
        <w:ind w:firstLine="397"/>
        <w:jc w:val="both"/>
        <w:rPr>
          <w:sz w:val="28"/>
          <w:szCs w:val="28"/>
        </w:rPr>
      </w:pPr>
      <w:r>
        <w:rPr>
          <w:rFonts w:ascii="Times New Roman" w:hAnsi="Times New Roman"/>
          <w:sz w:val="28"/>
          <w:szCs w:val="28"/>
        </w:rPr>
        <w:t>В тех же группах нами так же проводилась диагностика уровня групповой сплочённости обучающихся. При этом были поставлены следующие задачи:</w:t>
      </w:r>
    </w:p>
    <w:p w:rsidR="00AC4088" w:rsidRDefault="00AC0A6E">
      <w:pPr>
        <w:pStyle w:val="a6"/>
        <w:spacing w:after="0" w:line="240" w:lineRule="auto"/>
        <w:ind w:firstLine="397"/>
        <w:jc w:val="both"/>
        <w:rPr>
          <w:sz w:val="28"/>
          <w:szCs w:val="28"/>
        </w:rPr>
      </w:pPr>
      <w:r>
        <w:rPr>
          <w:rFonts w:ascii="Times New Roman;serif" w:hAnsi="Times New Roman;serif"/>
          <w:color w:val="000000"/>
          <w:sz w:val="28"/>
          <w:szCs w:val="28"/>
        </w:rPr>
        <w:t>1.</w:t>
      </w:r>
      <w:r>
        <w:rPr>
          <w:rFonts w:ascii="Times New Roman;serif" w:hAnsi="Times New Roman;serif"/>
          <w:b/>
          <w:color w:val="000000"/>
          <w:sz w:val="28"/>
          <w:szCs w:val="28"/>
        </w:rPr>
        <w:t xml:space="preserve"> </w:t>
      </w:r>
      <w:r>
        <w:rPr>
          <w:rFonts w:ascii="Times New Roman;serif" w:hAnsi="Times New Roman;serif"/>
          <w:color w:val="000000"/>
          <w:sz w:val="28"/>
          <w:szCs w:val="28"/>
        </w:rPr>
        <w:t>Подобрать и адаптировать к условиям детского объединения методику для исследования групповой сплочённости обучающихся детского объединения.</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olor w:val="000000"/>
          <w:sz w:val="28"/>
          <w:szCs w:val="28"/>
        </w:rPr>
        <w:t>2. Продиагностировать уровень групповой сплочённости в группах детского объединения по изучению экологии на 1 и на 2 годах обучения по образовательной программе экологического профиля.</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bCs/>
          <w:color w:val="000000"/>
          <w:sz w:val="28"/>
          <w:szCs w:val="28"/>
        </w:rPr>
        <w:t>3.</w:t>
      </w:r>
      <w:r>
        <w:rPr>
          <w:rFonts w:ascii="Times New Roman;serif" w:hAnsi="Times New Roman;serif"/>
          <w:b/>
          <w:bCs/>
          <w:color w:val="000000"/>
          <w:sz w:val="28"/>
          <w:szCs w:val="28"/>
        </w:rPr>
        <w:t xml:space="preserve"> </w:t>
      </w:r>
      <w:r>
        <w:rPr>
          <w:rFonts w:ascii="Times New Roman;serif" w:hAnsi="Times New Roman;serif"/>
          <w:color w:val="000000"/>
          <w:sz w:val="28"/>
          <w:szCs w:val="28"/>
        </w:rPr>
        <w:t>Проанализировать полученные результаты, сделать выводы.</w:t>
      </w:r>
    </w:p>
    <w:p w:rsidR="00AC4088" w:rsidRDefault="00AC0A6E">
      <w:pPr>
        <w:pStyle w:val="a6"/>
        <w:spacing w:after="0" w:line="240" w:lineRule="auto"/>
        <w:ind w:firstLine="397"/>
        <w:jc w:val="both"/>
      </w:pPr>
      <w:r>
        <w:rPr>
          <w:rFonts w:ascii="Times New Roman;serif" w:hAnsi="Times New Roman;serif" w:cs="Times New Roman"/>
          <w:color w:val="000000"/>
          <w:sz w:val="28"/>
          <w:szCs w:val="28"/>
        </w:rPr>
        <w:t>Для диагностики уровня групповой сплочённости в группах детского объединения была выбрана и адаптирована методика В.С. Ивашкина. Детям раздавались опросные листы и давалась инструкция: «Внимательно прочитайте вопросы и варианты ответов к ним. Из предложенных вариантов выберите тот, который отражает вашу точку зрения. Отметьте выбранный вариант ответа. Возможен выбор только одного варианта ответа». Каждому из ответов присваивается определённый балл, затем при обработке результатов подсчитывается сумма баллов по каждому ребёнку. Низкие оценки по какому-либо вопросу позволяют выявить источники напряжённости в детском объединении.</w:t>
      </w:r>
    </w:p>
    <w:p w:rsidR="00AC4088" w:rsidRDefault="00AC0A6E" w:rsidP="00AC0A6E">
      <w:pPr>
        <w:pStyle w:val="a6"/>
        <w:spacing w:after="0" w:line="240" w:lineRule="auto"/>
        <w:ind w:firstLine="397"/>
        <w:jc w:val="both"/>
        <w:rPr>
          <w:sz w:val="28"/>
          <w:szCs w:val="28"/>
        </w:rPr>
      </w:pPr>
      <w:r>
        <w:rPr>
          <w:rFonts w:ascii="Times New Roman;serif" w:hAnsi="Times New Roman;serif" w:cs="Times New Roman"/>
          <w:color w:val="000000"/>
          <w:sz w:val="28"/>
          <w:szCs w:val="28"/>
        </w:rPr>
        <w:lastRenderedPageBreak/>
        <w:t xml:space="preserve">После </w:t>
      </w:r>
      <w:proofErr w:type="gramStart"/>
      <w:r>
        <w:rPr>
          <w:rFonts w:ascii="Times New Roman;serif" w:hAnsi="Times New Roman;serif" w:cs="Times New Roman"/>
          <w:color w:val="000000"/>
          <w:sz w:val="28"/>
          <w:szCs w:val="28"/>
        </w:rPr>
        <w:t>фиксации и обработки результатов</w:t>
      </w:r>
      <w:proofErr w:type="gramEnd"/>
      <w:r>
        <w:rPr>
          <w:rFonts w:ascii="Times New Roman;serif" w:hAnsi="Times New Roman;serif" w:cs="Times New Roman"/>
          <w:color w:val="000000"/>
          <w:sz w:val="28"/>
          <w:szCs w:val="28"/>
        </w:rPr>
        <w:t xml:space="preserve"> обучающиеся в обеих группах были разделены на три основных уровня групповой сплочённости (в соответствии с методикой). В группе первого года обучения по образовательной программе экологического профиля получены следующие результаты (из 15 опрошенных):</w:t>
      </w:r>
    </w:p>
    <w:p w:rsidR="00AC4088" w:rsidRDefault="00AC0A6E">
      <w:pPr>
        <w:pStyle w:val="a6"/>
        <w:spacing w:after="0" w:line="240" w:lineRule="auto"/>
        <w:ind w:firstLine="397"/>
        <w:jc w:val="both"/>
        <w:rPr>
          <w:sz w:val="28"/>
          <w:szCs w:val="28"/>
        </w:rPr>
      </w:pPr>
      <w:r>
        <w:rPr>
          <w:rFonts w:ascii="Times New Roman;serif" w:hAnsi="Times New Roman;serif" w:cs="Times New Roman"/>
          <w:color w:val="000000"/>
          <w:sz w:val="28"/>
          <w:szCs w:val="28"/>
        </w:rPr>
        <w:t>2 человека — первый уровень (высокая сплочённость, 16-21 баллов);</w:t>
      </w:r>
    </w:p>
    <w:p w:rsidR="00AC4088" w:rsidRDefault="00AC0A6E">
      <w:pPr>
        <w:pStyle w:val="a6"/>
        <w:spacing w:after="0" w:line="240" w:lineRule="auto"/>
        <w:ind w:firstLine="397"/>
        <w:jc w:val="both"/>
        <w:rPr>
          <w:sz w:val="28"/>
          <w:szCs w:val="28"/>
        </w:rPr>
      </w:pPr>
      <w:r>
        <w:rPr>
          <w:rFonts w:ascii="Times New Roman;serif" w:hAnsi="Times New Roman;serif" w:cs="Times New Roman"/>
          <w:color w:val="000000"/>
          <w:sz w:val="28"/>
          <w:szCs w:val="28"/>
        </w:rPr>
        <w:t>11 человек — второй уровень (средняя сплочённость, 11-15 баллов);</w:t>
      </w:r>
    </w:p>
    <w:p w:rsidR="00AC4088" w:rsidRDefault="00AC0A6E">
      <w:pPr>
        <w:pStyle w:val="a6"/>
        <w:spacing w:after="0" w:line="240" w:lineRule="auto"/>
        <w:ind w:firstLine="397"/>
        <w:jc w:val="both"/>
        <w:rPr>
          <w:sz w:val="28"/>
          <w:szCs w:val="28"/>
        </w:rPr>
      </w:pPr>
      <w:r>
        <w:rPr>
          <w:rFonts w:ascii="Times New Roman;serif" w:hAnsi="Times New Roman;serif" w:cs="Times New Roman"/>
          <w:color w:val="000000"/>
          <w:sz w:val="28"/>
          <w:szCs w:val="28"/>
        </w:rPr>
        <w:t>2 человека — третий уровень (низкая сплочённость, 2-10 баллов).</w:t>
      </w:r>
    </w:p>
    <w:p w:rsidR="00AC4088" w:rsidRDefault="00AC0A6E" w:rsidP="00AC0A6E">
      <w:pPr>
        <w:pStyle w:val="a6"/>
        <w:spacing w:before="120" w:after="0" w:line="360" w:lineRule="auto"/>
        <w:jc w:val="center"/>
      </w:pPr>
      <w:r>
        <w:rPr>
          <w:noProof/>
          <w:lang w:eastAsia="ru-RU"/>
        </w:rPr>
        <w:drawing>
          <wp:inline distT="0" distB="0" distL="0" distR="0">
            <wp:extent cx="5029200" cy="2447925"/>
            <wp:effectExtent l="0" t="0" r="0" b="0"/>
            <wp:docPr id="3" name="Объект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C4088" w:rsidRDefault="00AC0A6E">
      <w:pPr>
        <w:pStyle w:val="a6"/>
        <w:shd w:val="clear" w:color="auto" w:fill="FFFFFF"/>
        <w:spacing w:after="0" w:line="240" w:lineRule="auto"/>
        <w:jc w:val="center"/>
      </w:pPr>
      <w:r>
        <w:rPr>
          <w:rFonts w:ascii="Times New Roman" w:hAnsi="Times New Roman" w:cs="Times New Roman"/>
          <w:b/>
          <w:sz w:val="28"/>
          <w:szCs w:val="28"/>
        </w:rPr>
        <w:t xml:space="preserve">Рис.3. Результаты диагностики уровня групповой сплочённости </w:t>
      </w:r>
    </w:p>
    <w:p w:rsidR="00AC4088" w:rsidRDefault="00AC0A6E">
      <w:pPr>
        <w:pStyle w:val="a6"/>
        <w:shd w:val="clear" w:color="auto" w:fill="FFFFFF"/>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 группе первого года обучения</w:t>
      </w:r>
    </w:p>
    <w:p w:rsidR="00AC4088" w:rsidRDefault="00AC4088">
      <w:pPr>
        <w:pStyle w:val="a6"/>
        <w:shd w:val="clear" w:color="auto" w:fill="FFFFFF"/>
        <w:spacing w:after="0" w:line="240" w:lineRule="auto"/>
        <w:jc w:val="center"/>
        <w:rPr>
          <w:rFonts w:ascii="Times New Roman" w:hAnsi="Times New Roman" w:cs="Times New Roman"/>
          <w:b/>
          <w:color w:val="FF0000"/>
          <w:sz w:val="28"/>
          <w:szCs w:val="28"/>
        </w:rPr>
      </w:pPr>
    </w:p>
    <w:p w:rsidR="00AC4088" w:rsidRDefault="00AC0A6E">
      <w:pPr>
        <w:spacing w:after="0" w:line="240" w:lineRule="auto"/>
        <w:ind w:firstLine="397"/>
        <w:jc w:val="both"/>
        <w:rPr>
          <w:sz w:val="28"/>
          <w:szCs w:val="28"/>
        </w:rPr>
      </w:pPr>
      <w:r>
        <w:rPr>
          <w:rFonts w:ascii="Times New Roman;serif" w:hAnsi="Times New Roman;serif" w:cs="Times New Roman"/>
          <w:color w:val="000000"/>
          <w:sz w:val="28"/>
          <w:szCs w:val="28"/>
        </w:rPr>
        <w:t>В группе второго года обучения по образовательной программе экологического профиля получены следующие результаты (из 15 опрошенных):</w:t>
      </w:r>
    </w:p>
    <w:p w:rsidR="00AC4088" w:rsidRDefault="00AC0A6E">
      <w:pPr>
        <w:pStyle w:val="a6"/>
        <w:spacing w:after="0" w:line="240" w:lineRule="auto"/>
        <w:ind w:firstLine="397"/>
        <w:jc w:val="both"/>
        <w:rPr>
          <w:sz w:val="28"/>
          <w:szCs w:val="28"/>
        </w:rPr>
      </w:pPr>
      <w:r>
        <w:rPr>
          <w:rFonts w:ascii="Times New Roman;serif" w:hAnsi="Times New Roman;serif" w:cs="Times New Roman"/>
          <w:color w:val="000000"/>
          <w:sz w:val="28"/>
          <w:szCs w:val="28"/>
        </w:rPr>
        <w:t>8 человек -  первый уровень (высокая сплочённость, 16-21 баллов);</w:t>
      </w:r>
    </w:p>
    <w:p w:rsidR="00AC4088" w:rsidRDefault="00AC0A6E">
      <w:pPr>
        <w:pStyle w:val="a6"/>
        <w:spacing w:after="0" w:line="240" w:lineRule="auto"/>
        <w:ind w:firstLine="397"/>
        <w:jc w:val="both"/>
        <w:rPr>
          <w:sz w:val="28"/>
          <w:szCs w:val="28"/>
        </w:rPr>
      </w:pPr>
      <w:r>
        <w:rPr>
          <w:rFonts w:ascii="Times New Roman;serif" w:hAnsi="Times New Roman;serif" w:cs="Times New Roman"/>
          <w:color w:val="000000"/>
          <w:sz w:val="28"/>
          <w:szCs w:val="28"/>
        </w:rPr>
        <w:t>5 человек -  второй уровень (средняя сплочённость, 11-15 баллов);</w:t>
      </w:r>
    </w:p>
    <w:p w:rsidR="00AC4088" w:rsidRDefault="00AC0A6E">
      <w:pPr>
        <w:pStyle w:val="a6"/>
        <w:spacing w:after="0" w:line="240" w:lineRule="auto"/>
        <w:ind w:firstLine="397"/>
        <w:jc w:val="both"/>
      </w:pPr>
      <w:r>
        <w:rPr>
          <w:rFonts w:ascii="Times New Roman;serif" w:hAnsi="Times New Roman;serif" w:cs="Times New Roman"/>
          <w:color w:val="000000"/>
          <w:sz w:val="28"/>
          <w:szCs w:val="28"/>
        </w:rPr>
        <w:t>2 человека - третий уровень (низкая сплочённость, 2-10 баллов).</w:t>
      </w:r>
    </w:p>
    <w:p w:rsidR="00AC4088" w:rsidRDefault="00AC0A6E">
      <w:pPr>
        <w:spacing w:before="120" w:after="0" w:line="360" w:lineRule="auto"/>
      </w:pPr>
      <w:r>
        <w:rPr>
          <w:noProof/>
          <w:lang w:eastAsia="ru-RU"/>
        </w:rPr>
        <w:drawing>
          <wp:inline distT="0" distB="0" distL="0" distR="0">
            <wp:extent cx="5391150" cy="2095500"/>
            <wp:effectExtent l="0" t="0" r="0" b="0"/>
            <wp:docPr id="4" name="Объект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C4088" w:rsidRDefault="00AC0A6E" w:rsidP="00AC0A6E">
      <w:pPr>
        <w:spacing w:after="0" w:line="240" w:lineRule="auto"/>
      </w:pPr>
      <w:r>
        <w:rPr>
          <w:rFonts w:ascii="Times New Roman" w:hAnsi="Times New Roman" w:cs="Times New Roman"/>
          <w:b/>
          <w:sz w:val="28"/>
          <w:szCs w:val="28"/>
        </w:rPr>
        <w:t xml:space="preserve">Рис.4. Результаты диагностики уровня групповой сплочённости </w:t>
      </w:r>
    </w:p>
    <w:p w:rsidR="00AC4088" w:rsidRDefault="00AC0A6E" w:rsidP="00AC0A6E">
      <w:pPr>
        <w:pStyle w:val="a6"/>
        <w:shd w:val="clear" w:color="auto" w:fill="FFFFFF"/>
        <w:spacing w:after="0" w:line="240" w:lineRule="auto"/>
        <w:jc w:val="center"/>
      </w:pPr>
      <w:r>
        <w:rPr>
          <w:rFonts w:ascii="Times New Roman" w:hAnsi="Times New Roman" w:cs="Times New Roman"/>
          <w:b/>
          <w:sz w:val="28"/>
          <w:szCs w:val="28"/>
        </w:rPr>
        <w:t>в группе второго года обучения</w:t>
      </w:r>
      <w:r>
        <w:rPr>
          <w:rFonts w:ascii="Times New Roman;serif" w:hAnsi="Times New Roman;serif" w:cs="Times New Roman"/>
          <w:color w:val="000000"/>
          <w:sz w:val="28"/>
          <w:szCs w:val="28"/>
        </w:rPr>
        <w:t xml:space="preserve">                                                        </w:t>
      </w:r>
    </w:p>
    <w:p w:rsidR="00AC4088" w:rsidRDefault="00AC0A6E">
      <w:pPr>
        <w:pStyle w:val="a6"/>
        <w:shd w:val="clear" w:color="auto" w:fill="FFFFFF"/>
        <w:spacing w:after="0" w:line="240" w:lineRule="auto"/>
        <w:ind w:firstLine="397"/>
        <w:jc w:val="both"/>
        <w:rPr>
          <w:sz w:val="28"/>
          <w:szCs w:val="28"/>
        </w:rPr>
      </w:pPr>
      <w:r>
        <w:rPr>
          <w:rFonts w:ascii="Times New Roman;serif" w:hAnsi="Times New Roman;serif" w:cs="Times New Roman"/>
          <w:color w:val="000000"/>
          <w:sz w:val="28"/>
          <w:szCs w:val="28"/>
        </w:rPr>
        <w:lastRenderedPageBreak/>
        <w:t>Как показал анализ данных, уровень групповой сплочённости у учащихся второго года обучения, осваивающих программу экологического профиля, в среднем оказался намного выше, чем в группе первого года обучения. При этом обучающиеся работали в одинаковых условиях, всё время занятия детского объединения проводил один и тот же педагог. Можно сделать вывод, что в детском объединении постепенно растёт уровень групповой сплочённости, что, соответственно, оказывает благоприятное влияние на результаты обучения.</w:t>
      </w:r>
      <w:r>
        <w:rPr>
          <w:rFonts w:ascii="Open Sans;sans-serif" w:hAnsi="Open Sans;sans-serif" w:cs="Times New Roman"/>
          <w:color w:val="000000"/>
          <w:sz w:val="28"/>
          <w:szCs w:val="28"/>
        </w:rPr>
        <w:t xml:space="preserve"> </w:t>
      </w:r>
    </w:p>
    <w:p w:rsidR="00AC4088" w:rsidRDefault="00AC0A6E">
      <w:pPr>
        <w:pStyle w:val="a6"/>
        <w:shd w:val="clear" w:color="auto" w:fill="FFFFFF"/>
        <w:spacing w:after="0" w:line="240" w:lineRule="auto"/>
        <w:ind w:firstLine="397"/>
        <w:jc w:val="both"/>
        <w:rPr>
          <w:sz w:val="28"/>
          <w:szCs w:val="28"/>
        </w:rPr>
      </w:pPr>
      <w:r>
        <w:rPr>
          <w:rFonts w:ascii="Times New Roman" w:hAnsi="Times New Roman" w:cs="Times New Roman"/>
          <w:color w:val="000000"/>
          <w:sz w:val="28"/>
          <w:szCs w:val="28"/>
        </w:rPr>
        <w:t>В то же время используемая методика помогла выявить проблемы общения в детском объединении. Так, в группе первого года обучения у значительной части детей выявлено некое равнодушие к коллективным делам детского объединения. В группе второго года обучения ситуация меняется, многие считают себя активными, полноправными членами детского коллектива.</w:t>
      </w:r>
    </w:p>
    <w:p w:rsidR="00AC4088" w:rsidRDefault="00AC0A6E">
      <w:pPr>
        <w:pStyle w:val="a6"/>
        <w:shd w:val="clear" w:color="auto" w:fill="FFFFFF"/>
        <w:spacing w:after="0" w:line="240" w:lineRule="auto"/>
        <w:ind w:firstLine="397"/>
        <w:jc w:val="both"/>
      </w:pPr>
      <w:r>
        <w:rPr>
          <w:rFonts w:ascii="Times New Roman" w:hAnsi="Times New Roman" w:cs="Times New Roman"/>
          <w:color w:val="000000"/>
          <w:sz w:val="28"/>
          <w:szCs w:val="28"/>
        </w:rPr>
        <w:t>По итогам диагностики проведена психологическая консультация для педагога детского объединения, в ходе которой были обсуждены способы вовлечения детей в коллективную деятельность объединения, совместно выработана стратегия сплочен</w:t>
      </w:r>
      <w:r w:rsidR="0008219D">
        <w:rPr>
          <w:rFonts w:ascii="Times New Roman" w:hAnsi="Times New Roman" w:cs="Times New Roman"/>
          <w:color w:val="000000"/>
          <w:sz w:val="28"/>
          <w:szCs w:val="28"/>
        </w:rPr>
        <w:t>ия группы первого года обучения.</w:t>
      </w:r>
      <w:r>
        <w:rPr>
          <w:rFonts w:ascii="Times New Roman" w:hAnsi="Times New Roman" w:cs="Times New Roman"/>
          <w:color w:val="000000"/>
          <w:sz w:val="28"/>
          <w:szCs w:val="28"/>
        </w:rPr>
        <w:t xml:space="preserve"> В частности, предложено провести игры на сплочение и коммуникацию, организовать совместные экскурсии, праздники.</w:t>
      </w:r>
    </w:p>
    <w:p w:rsidR="00AC4088" w:rsidRDefault="00AC4088">
      <w:pPr>
        <w:spacing w:after="0" w:line="240" w:lineRule="auto"/>
        <w:ind w:firstLine="397"/>
        <w:jc w:val="both"/>
        <w:rPr>
          <w:rFonts w:ascii="Times New Roman;serif" w:hAnsi="Times New Roman;serif" w:cs="Times New Roman"/>
          <w:color w:val="000000"/>
          <w:sz w:val="28"/>
          <w:szCs w:val="28"/>
        </w:rPr>
      </w:pPr>
    </w:p>
    <w:p w:rsidR="00AC4088" w:rsidRDefault="00AC0A6E" w:rsidP="0008219D">
      <w:pPr>
        <w:spacing w:after="0" w:line="240" w:lineRule="auto"/>
        <w:ind w:firstLine="397"/>
        <w:jc w:val="center"/>
        <w:rPr>
          <w:color w:val="auto"/>
        </w:rPr>
      </w:pPr>
      <w:r w:rsidRPr="0008219D">
        <w:rPr>
          <w:rFonts w:ascii="Times New Roman" w:hAnsi="Times New Roman" w:cs="Times New Roman"/>
          <w:color w:val="auto"/>
          <w:sz w:val="28"/>
          <w:szCs w:val="28"/>
        </w:rPr>
        <w:t>Список литературы</w:t>
      </w:r>
      <w:r w:rsidR="0008219D">
        <w:rPr>
          <w:rFonts w:ascii="Times New Roman" w:hAnsi="Times New Roman" w:cs="Times New Roman"/>
          <w:color w:val="auto"/>
          <w:sz w:val="28"/>
          <w:szCs w:val="28"/>
        </w:rPr>
        <w:t xml:space="preserve"> </w:t>
      </w:r>
    </w:p>
    <w:p w:rsidR="00AC4088" w:rsidRDefault="00AC4088">
      <w:pPr>
        <w:spacing w:after="0" w:line="240" w:lineRule="auto"/>
        <w:ind w:firstLine="397"/>
        <w:jc w:val="both"/>
        <w:rPr>
          <w:rFonts w:ascii="Times New Roman" w:hAnsi="Times New Roman" w:cs="Times New Roman"/>
          <w:sz w:val="28"/>
          <w:szCs w:val="28"/>
        </w:rPr>
      </w:pPr>
    </w:p>
    <w:p w:rsidR="00AC4088" w:rsidRDefault="00AC0A6E">
      <w:pPr>
        <w:spacing w:after="0" w:line="240" w:lineRule="auto"/>
        <w:jc w:val="both"/>
        <w:rPr>
          <w:rFonts w:ascii="Times New Roman;serif" w:hAnsi="Times New Roman;serif" w:cs="Times New Roman"/>
          <w:color w:val="000000"/>
          <w:sz w:val="28"/>
          <w:szCs w:val="28"/>
        </w:rPr>
      </w:pPr>
      <w:r>
        <w:rPr>
          <w:rFonts w:ascii="Times New Roman;serif" w:hAnsi="Times New Roman;serif" w:cs="Times New Roman"/>
          <w:color w:val="000000"/>
          <w:sz w:val="24"/>
          <w:szCs w:val="24"/>
        </w:rPr>
        <w:t xml:space="preserve">1. </w:t>
      </w:r>
      <w:proofErr w:type="spellStart"/>
      <w:r>
        <w:rPr>
          <w:rFonts w:ascii="Times New Roman;serif" w:hAnsi="Times New Roman;serif" w:cs="Times New Roman"/>
          <w:color w:val="000000"/>
          <w:sz w:val="28"/>
          <w:szCs w:val="28"/>
        </w:rPr>
        <w:t>Жибарева</w:t>
      </w:r>
      <w:proofErr w:type="spellEnd"/>
      <w:r>
        <w:rPr>
          <w:rFonts w:ascii="Times New Roman;serif" w:hAnsi="Times New Roman;serif" w:cs="Times New Roman"/>
          <w:color w:val="000000"/>
          <w:sz w:val="28"/>
          <w:szCs w:val="28"/>
        </w:rPr>
        <w:t> Л.А. Эффективные средства формирования экологической культуры школьников: учебно-методическое пособие [Текст] /Л.А. </w:t>
      </w:r>
      <w:proofErr w:type="spellStart"/>
      <w:r>
        <w:rPr>
          <w:rFonts w:ascii="Times New Roman;serif" w:hAnsi="Times New Roman;serif" w:cs="Times New Roman"/>
          <w:color w:val="000000"/>
          <w:sz w:val="28"/>
          <w:szCs w:val="28"/>
        </w:rPr>
        <w:t>Жибарева</w:t>
      </w:r>
      <w:proofErr w:type="spellEnd"/>
      <w:r>
        <w:rPr>
          <w:rFonts w:ascii="Times New Roman;serif" w:hAnsi="Times New Roman;serif" w:cs="Times New Roman"/>
          <w:color w:val="000000"/>
          <w:sz w:val="28"/>
          <w:szCs w:val="28"/>
        </w:rPr>
        <w:t> / под ред. Л.В. </w:t>
      </w:r>
      <w:proofErr w:type="spellStart"/>
      <w:r>
        <w:rPr>
          <w:rFonts w:ascii="Times New Roman;serif" w:hAnsi="Times New Roman;serif" w:cs="Times New Roman"/>
          <w:color w:val="000000"/>
          <w:sz w:val="28"/>
          <w:szCs w:val="28"/>
        </w:rPr>
        <w:t>Байбородовой</w:t>
      </w:r>
      <w:proofErr w:type="spellEnd"/>
      <w:r>
        <w:rPr>
          <w:rFonts w:ascii="Times New Roman;serif" w:hAnsi="Times New Roman;serif" w:cs="Times New Roman"/>
          <w:color w:val="000000"/>
          <w:sz w:val="28"/>
          <w:szCs w:val="28"/>
        </w:rPr>
        <w:t>. – Ярославль: «Комета», 2012. – 40 с.</w:t>
      </w:r>
    </w:p>
    <w:p w:rsidR="00AC0A6E" w:rsidRDefault="00AC0A6E">
      <w:pPr>
        <w:spacing w:after="0" w:line="240" w:lineRule="auto"/>
        <w:jc w:val="both"/>
      </w:pPr>
    </w:p>
    <w:p w:rsidR="00AC4088" w:rsidRDefault="00AC0A6E">
      <w:pPr>
        <w:spacing w:after="0" w:line="240" w:lineRule="auto"/>
        <w:jc w:val="both"/>
      </w:pPr>
      <w:r>
        <w:rPr>
          <w:rFonts w:ascii="Times New Roman" w:hAnsi="Times New Roman" w:cs="Times New Roman"/>
          <w:color w:val="auto"/>
          <w:sz w:val="28"/>
          <w:szCs w:val="28"/>
        </w:rPr>
        <w:t xml:space="preserve">2. </w:t>
      </w:r>
      <w:proofErr w:type="spellStart"/>
      <w:r>
        <w:rPr>
          <w:rFonts w:ascii="Times New Roman" w:hAnsi="Times New Roman" w:cs="Times New Roman"/>
          <w:color w:val="auto"/>
          <w:sz w:val="28"/>
          <w:szCs w:val="28"/>
        </w:rPr>
        <w:t>Лусканова</w:t>
      </w:r>
      <w:proofErr w:type="spellEnd"/>
      <w:r>
        <w:rPr>
          <w:rFonts w:ascii="Times New Roman" w:hAnsi="Times New Roman" w:cs="Times New Roman"/>
          <w:color w:val="auto"/>
          <w:sz w:val="28"/>
          <w:szCs w:val="28"/>
        </w:rPr>
        <w:t xml:space="preserve"> Н.Г. </w:t>
      </w:r>
      <w:r>
        <w:rPr>
          <w:rFonts w:ascii="Times New Roman" w:hAnsi="Times New Roman"/>
          <w:color w:val="auto"/>
          <w:sz w:val="28"/>
          <w:szCs w:val="28"/>
        </w:rPr>
        <w:t xml:space="preserve">Диагностические аспекты проблемы школьной </w:t>
      </w:r>
      <w:proofErr w:type="spellStart"/>
      <w:r>
        <w:rPr>
          <w:rFonts w:ascii="Times New Roman" w:hAnsi="Times New Roman"/>
          <w:color w:val="auto"/>
          <w:sz w:val="28"/>
          <w:szCs w:val="28"/>
        </w:rPr>
        <w:t>дезадаптации</w:t>
      </w:r>
      <w:proofErr w:type="spellEnd"/>
      <w:r>
        <w:rPr>
          <w:rFonts w:ascii="Times New Roman" w:hAnsi="Times New Roman"/>
          <w:color w:val="auto"/>
          <w:sz w:val="28"/>
          <w:szCs w:val="28"/>
        </w:rPr>
        <w:t xml:space="preserve"> у детей младшего школьного возраста /</w:t>
      </w:r>
      <w:hyperlink r:id="rId8">
        <w:r>
          <w:rPr>
            <w:rStyle w:val="-"/>
            <w:rFonts w:ascii="Times New Roman" w:hAnsi="Times New Roman"/>
            <w:color w:val="auto"/>
            <w:sz w:val="28"/>
            <w:szCs w:val="28"/>
            <w:u w:val="none"/>
          </w:rPr>
          <w:t xml:space="preserve">Н.Г. </w:t>
        </w:r>
        <w:proofErr w:type="spellStart"/>
        <w:r>
          <w:rPr>
            <w:rStyle w:val="-"/>
            <w:rFonts w:ascii="Times New Roman" w:hAnsi="Times New Roman"/>
            <w:color w:val="auto"/>
            <w:sz w:val="28"/>
            <w:szCs w:val="28"/>
            <w:u w:val="none"/>
          </w:rPr>
          <w:t>Лусканова</w:t>
        </w:r>
        <w:proofErr w:type="spellEnd"/>
      </w:hyperlink>
      <w:r>
        <w:rPr>
          <w:rFonts w:ascii="Times New Roman" w:hAnsi="Times New Roman"/>
          <w:color w:val="auto"/>
          <w:sz w:val="28"/>
          <w:szCs w:val="28"/>
        </w:rPr>
        <w:t>, </w:t>
      </w:r>
      <w:hyperlink r:id="rId9">
        <w:r>
          <w:rPr>
            <w:rStyle w:val="-"/>
            <w:rFonts w:ascii="Times New Roman" w:hAnsi="Times New Roman"/>
            <w:color w:val="auto"/>
            <w:sz w:val="28"/>
            <w:szCs w:val="28"/>
            <w:u w:val="none"/>
          </w:rPr>
          <w:t>И.А. Коробейников</w:t>
        </w:r>
      </w:hyperlink>
      <w:r w:rsidR="0008219D">
        <w:rPr>
          <w:rFonts w:ascii="Times New Roman" w:hAnsi="Times New Roman"/>
          <w:color w:val="auto"/>
          <w:sz w:val="28"/>
          <w:szCs w:val="28"/>
        </w:rPr>
        <w:t xml:space="preserve"> / </w:t>
      </w:r>
      <w:r>
        <w:rPr>
          <w:rFonts w:ascii="Times New Roman" w:hAnsi="Times New Roman"/>
          <w:color w:val="auto"/>
          <w:sz w:val="28"/>
          <w:szCs w:val="28"/>
        </w:rPr>
        <w:t xml:space="preserve">Психология детей с нарушениями и отклонениями психического развития: [хрестоматия] / сост. </w:t>
      </w:r>
      <w:hyperlink r:id="rId10">
        <w:r>
          <w:rPr>
            <w:rStyle w:val="-"/>
            <w:rFonts w:ascii="Times New Roman" w:hAnsi="Times New Roman"/>
            <w:color w:val="auto"/>
            <w:sz w:val="28"/>
            <w:szCs w:val="28"/>
            <w:u w:val="none"/>
          </w:rPr>
          <w:t>В.М. Астапов</w:t>
        </w:r>
      </w:hyperlink>
      <w:r>
        <w:rPr>
          <w:rFonts w:ascii="Times New Roman" w:hAnsi="Times New Roman"/>
          <w:color w:val="auto"/>
          <w:sz w:val="28"/>
          <w:szCs w:val="28"/>
        </w:rPr>
        <w:t xml:space="preserve">, </w:t>
      </w:r>
      <w:hyperlink r:id="rId11">
        <w:r>
          <w:rPr>
            <w:rStyle w:val="-"/>
            <w:rFonts w:ascii="Times New Roman" w:hAnsi="Times New Roman"/>
            <w:color w:val="auto"/>
            <w:sz w:val="28"/>
            <w:szCs w:val="28"/>
            <w:u w:val="none"/>
          </w:rPr>
          <w:t>Ю.В. </w:t>
        </w:r>
        <w:proofErr w:type="spellStart"/>
        <w:r>
          <w:rPr>
            <w:rStyle w:val="-"/>
            <w:rFonts w:ascii="Times New Roman" w:hAnsi="Times New Roman"/>
            <w:color w:val="auto"/>
            <w:sz w:val="28"/>
            <w:szCs w:val="28"/>
            <w:u w:val="none"/>
          </w:rPr>
          <w:t>Микадзе</w:t>
        </w:r>
        <w:proofErr w:type="spellEnd"/>
      </w:hyperlink>
      <w:r>
        <w:rPr>
          <w:rFonts w:ascii="Times New Roman" w:hAnsi="Times New Roman"/>
          <w:color w:val="auto"/>
          <w:sz w:val="28"/>
          <w:szCs w:val="28"/>
        </w:rPr>
        <w:t>. – 2-е издание. – Санкт-Петербург: Питер, 2008. – (Хрестоматия).</w:t>
      </w:r>
      <w:r>
        <w:rPr>
          <w:rFonts w:ascii="Times New Roman" w:hAnsi="Times New Roman"/>
          <w:color w:val="auto"/>
          <w:sz w:val="28"/>
          <w:szCs w:val="28"/>
        </w:rPr>
        <w:br/>
      </w:r>
    </w:p>
    <w:p w:rsidR="00AC4088" w:rsidRDefault="00AC4088">
      <w:pPr>
        <w:spacing w:after="0" w:line="240" w:lineRule="auto"/>
        <w:rPr>
          <w:rFonts w:ascii="Times New Roman" w:hAnsi="Times New Roman" w:cs="Times New Roman"/>
          <w:color w:val="auto"/>
          <w:sz w:val="28"/>
          <w:szCs w:val="28"/>
        </w:rPr>
      </w:pPr>
    </w:p>
    <w:p w:rsidR="00AC4088" w:rsidRDefault="00AC4088">
      <w:pPr>
        <w:spacing w:after="0" w:line="240" w:lineRule="auto"/>
        <w:ind w:firstLine="397"/>
        <w:rPr>
          <w:rFonts w:ascii="Times New Roman" w:hAnsi="Times New Roman" w:cs="Times New Roman"/>
          <w:color w:val="auto"/>
          <w:sz w:val="28"/>
          <w:szCs w:val="28"/>
        </w:rPr>
      </w:pPr>
    </w:p>
    <w:p w:rsidR="00AC4088" w:rsidRDefault="00AC4088">
      <w:pPr>
        <w:spacing w:after="0" w:line="240" w:lineRule="auto"/>
        <w:jc w:val="both"/>
        <w:rPr>
          <w:rFonts w:ascii="Times New Roman;serif" w:hAnsi="Times New Roman;serif" w:cs="Times New Roman"/>
          <w:color w:val="000000"/>
          <w:sz w:val="24"/>
          <w:szCs w:val="24"/>
        </w:rPr>
      </w:pPr>
    </w:p>
    <w:p w:rsidR="00AC4088" w:rsidRDefault="00AC4088">
      <w:pPr>
        <w:spacing w:after="0" w:line="240" w:lineRule="auto"/>
        <w:ind w:firstLine="397"/>
        <w:jc w:val="both"/>
        <w:rPr>
          <w:rFonts w:ascii="Times New Roman;serif" w:hAnsi="Times New Roman;serif" w:cs="Times New Roman"/>
          <w:color w:val="000000"/>
          <w:sz w:val="24"/>
          <w:szCs w:val="24"/>
        </w:rPr>
      </w:pPr>
    </w:p>
    <w:p w:rsidR="00AC4088" w:rsidRDefault="00AC4088">
      <w:pPr>
        <w:spacing w:after="0" w:line="240" w:lineRule="auto"/>
        <w:jc w:val="both"/>
      </w:pPr>
    </w:p>
    <w:sectPr w:rsidR="00AC4088" w:rsidSect="0027120F">
      <w:pgSz w:w="11906" w:h="16838"/>
      <w:pgMar w:top="1418" w:right="1418" w:bottom="1418"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 New Roman;serif">
    <w:altName w:val="Times New Roman"/>
    <w:panose1 w:val="00000000000000000000"/>
    <w:charset w:val="00"/>
    <w:family w:val="roman"/>
    <w:notTrueType/>
    <w:pitch w:val="default"/>
  </w:font>
  <w:font w:name="Open Sans;sans-serif">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C4088"/>
    <w:rsid w:val="0008219D"/>
    <w:rsid w:val="00115F49"/>
    <w:rsid w:val="001B4241"/>
    <w:rsid w:val="0027120F"/>
    <w:rsid w:val="0044730B"/>
    <w:rsid w:val="005025C6"/>
    <w:rsid w:val="008D1994"/>
    <w:rsid w:val="009803B0"/>
    <w:rsid w:val="00AC0A6E"/>
    <w:rsid w:val="00AC4088"/>
    <w:rsid w:val="00CD6BBD"/>
    <w:rsid w:val="00EA3C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A34F1D-4983-4046-9920-EE4195201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5CD5"/>
    <w:pPr>
      <w:spacing w:after="200" w:line="276" w:lineRule="auto"/>
    </w:pPr>
    <w:rPr>
      <w:rFonts w:ascii="Calibri" w:eastAsia="Calibri" w:hAnsi="Calibri"/>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A05CD5"/>
    <w:rPr>
      <w:rFonts w:ascii="Calibri" w:eastAsia="Calibri" w:hAnsi="Calibri"/>
      <w:color w:val="00000A"/>
    </w:rPr>
  </w:style>
  <w:style w:type="character" w:customStyle="1" w:styleId="a4">
    <w:name w:val="Текст выноски Знак"/>
    <w:basedOn w:val="a0"/>
    <w:uiPriority w:val="99"/>
    <w:semiHidden/>
    <w:qFormat/>
    <w:rsid w:val="007D6250"/>
    <w:rPr>
      <w:rFonts w:ascii="Tahoma" w:eastAsia="Calibri" w:hAnsi="Tahoma" w:cs="Tahoma"/>
      <w:color w:val="00000A"/>
      <w:sz w:val="16"/>
      <w:szCs w:val="16"/>
    </w:rPr>
  </w:style>
  <w:style w:type="character" w:customStyle="1" w:styleId="ListLabel1">
    <w:name w:val="ListLabel 1"/>
    <w:qFormat/>
    <w:rsid w:val="0027120F"/>
    <w:rPr>
      <w:b/>
      <w:color w:val="000000"/>
    </w:rPr>
  </w:style>
  <w:style w:type="character" w:customStyle="1" w:styleId="-">
    <w:name w:val="Интернет-ссылка"/>
    <w:rsid w:val="0027120F"/>
    <w:rPr>
      <w:color w:val="000080"/>
      <w:u w:val="single"/>
    </w:rPr>
  </w:style>
  <w:style w:type="paragraph" w:customStyle="1" w:styleId="a5">
    <w:name w:val="Заголовок"/>
    <w:basedOn w:val="a"/>
    <w:next w:val="a6"/>
    <w:qFormat/>
    <w:rsid w:val="0027120F"/>
    <w:pPr>
      <w:keepNext/>
      <w:spacing w:before="240" w:after="120"/>
    </w:pPr>
    <w:rPr>
      <w:rFonts w:ascii="Liberation Sans" w:eastAsia="Microsoft YaHei" w:hAnsi="Liberation Sans" w:cs="Arial"/>
      <w:sz w:val="28"/>
      <w:szCs w:val="28"/>
    </w:rPr>
  </w:style>
  <w:style w:type="paragraph" w:styleId="a6">
    <w:name w:val="Body Text"/>
    <w:basedOn w:val="a"/>
    <w:unhideWhenUsed/>
    <w:rsid w:val="00A05CD5"/>
    <w:pPr>
      <w:spacing w:after="140" w:line="288" w:lineRule="auto"/>
    </w:pPr>
  </w:style>
  <w:style w:type="paragraph" w:styleId="a7">
    <w:name w:val="List"/>
    <w:basedOn w:val="a6"/>
    <w:rsid w:val="0027120F"/>
    <w:rPr>
      <w:rFonts w:cs="Arial"/>
    </w:rPr>
  </w:style>
  <w:style w:type="paragraph" w:styleId="a8">
    <w:name w:val="caption"/>
    <w:basedOn w:val="a"/>
    <w:qFormat/>
    <w:rsid w:val="0027120F"/>
    <w:pPr>
      <w:suppressLineNumbers/>
      <w:spacing w:before="120" w:after="120"/>
    </w:pPr>
    <w:rPr>
      <w:rFonts w:cs="Arial"/>
      <w:i/>
      <w:iCs/>
      <w:sz w:val="24"/>
      <w:szCs w:val="24"/>
    </w:rPr>
  </w:style>
  <w:style w:type="paragraph" w:styleId="a9">
    <w:name w:val="index heading"/>
    <w:basedOn w:val="a"/>
    <w:qFormat/>
    <w:rsid w:val="0027120F"/>
    <w:pPr>
      <w:suppressLineNumbers/>
    </w:pPr>
    <w:rPr>
      <w:rFonts w:cs="Arial"/>
    </w:rPr>
  </w:style>
  <w:style w:type="paragraph" w:styleId="aa">
    <w:name w:val="Balloon Text"/>
    <w:basedOn w:val="a"/>
    <w:uiPriority w:val="99"/>
    <w:semiHidden/>
    <w:unhideWhenUsed/>
    <w:qFormat/>
    <w:rsid w:val="007D6250"/>
    <w:pPr>
      <w:spacing w:after="0" w:line="240" w:lineRule="auto"/>
    </w:pPr>
    <w:rPr>
      <w:rFonts w:ascii="Tahoma" w:hAnsi="Tahoma" w:cs="Tahoma"/>
      <w:sz w:val="16"/>
      <w:szCs w:val="16"/>
    </w:rPr>
  </w:style>
  <w:style w:type="paragraph" w:styleId="ab">
    <w:name w:val="List Paragraph"/>
    <w:basedOn w:val="a"/>
    <w:uiPriority w:val="34"/>
    <w:qFormat/>
    <w:rsid w:val="00AC0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mgppu.ru/opacunicode/app/webroot/index.php?url=/auteurs/view/6211/source:defau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hyperlink" Target="http://lib.mgppu.ru/opacunicode/app/webroot/index.php?url=/auteurs/view/2654/source:default" TargetMode="External"/><Relationship Id="rId5" Type="http://schemas.openxmlformats.org/officeDocument/2006/relationships/chart" Target="charts/chart2.xml"/><Relationship Id="rId10" Type="http://schemas.openxmlformats.org/officeDocument/2006/relationships/hyperlink" Target="http://lib.mgppu.ru/opacunicode/app/webroot/index.php?url=/auteurs/view/2653/source:default" TargetMode="External"/><Relationship Id="rId4" Type="http://schemas.openxmlformats.org/officeDocument/2006/relationships/chart" Target="charts/chart1.xml"/><Relationship Id="rId9" Type="http://schemas.openxmlformats.org/officeDocument/2006/relationships/hyperlink" Target="http://lib.mgppu.ru/opacunicode/app/webroot/index.php?url=/auteurs/view/4331/source:default" TargetMode="Externa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19737314993302185"/>
          <c:y val="3.9311194796302629E-2"/>
          <c:w val="0.43136276015290642"/>
          <c:h val="0.90398630605956853"/>
        </c:manualLayout>
      </c:layout>
      <c:pieChart>
        <c:varyColors val="1"/>
        <c:ser>
          <c:idx val="0"/>
          <c:order val="0"/>
          <c:tx>
            <c:strRef>
              <c:f>label 0</c:f>
              <c:strCache>
                <c:ptCount val="1"/>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dLbl>
              <c:idx val="0"/>
              <c:tx>
                <c:rich>
                  <a:bodyPr/>
                  <a:lstStyle/>
                  <a:p>
                    <a:fld id="{1D9568B7-45A6-49D6-B8C3-7D92B4158975}" type="SERIESNAME">
                      <a:rPr lang="ru-RU"/>
                      <a:pPr/>
                      <a:t>[ИМЯ РЯДА]</a:t>
                    </a:fld>
                    <a:r>
                      <a:rPr lang="ru-RU" baseline="0"/>
                      <a:t> </a:t>
                    </a:r>
                    <a:fld id="{8B0F4C26-B91F-4A70-BF45-7F734F1AE5D3}" type="CATEGORYNAME">
                      <a:rPr lang="ru-RU" baseline="0"/>
                      <a:pPr/>
                      <a:t>[ИМЯ КАТЕГОРИИ]</a:t>
                    </a:fld>
                    <a:r>
                      <a:rPr lang="ru-RU" baseline="0"/>
                      <a:t>; </a:t>
                    </a:r>
                    <a:fld id="{B3AE33FA-8135-4987-A36C-C8627BA4FED3}" type="VALUE">
                      <a:rPr lang="ru-RU" baseline="0"/>
                      <a:pPr/>
                      <a:t>[ЗНАЧЕНИЕ]</a:t>
                    </a:fld>
                    <a:r>
                      <a:rPr lang="ru-RU" baseline="0"/>
                      <a:t>; </a:t>
                    </a:r>
                    <a:fld id="{5F0F7FF3-406E-40A6-9B08-564F85B6FF6E}" type="PERCENTAGE">
                      <a:rPr lang="ru-RU" baseline="0"/>
                      <a:pPr/>
                      <a:t>[ПРОЦЕНТ]</a:t>
                    </a:fld>
                    <a:endParaRPr lang="ru-RU" baseline="0"/>
                  </a:p>
                </c:rich>
              </c:tx>
              <c:dLblPos val="outEnd"/>
              <c:showLegendKey val="1"/>
              <c:showVal val="1"/>
              <c:showCatName val="1"/>
              <c:showSerName val="0"/>
              <c:showPercent val="1"/>
              <c:showBubbleSize val="1"/>
              <c:extLst>
                <c:ext xmlns:c15="http://schemas.microsoft.com/office/drawing/2012/chart" uri="{CE6537A1-D6FC-4f65-9D91-7224C49458BB}">
                  <c15:dlblFieldTable/>
                  <c15:showDataLabelsRange val="1"/>
                </c:ext>
              </c:extLst>
            </c:dLbl>
            <c:dLbl>
              <c:idx val="1"/>
              <c:tx>
                <c:rich>
                  <a:bodyPr/>
                  <a:lstStyle/>
                  <a:p>
                    <a:fld id="{5EEF3DD8-1D5B-4812-A889-EC7B7E03F9EE}" type="CATEGORYNAME">
                      <a:rPr lang="ru-RU"/>
                      <a:pPr/>
                      <a:t>[ИМЯ КАТЕГОРИИ]</a:t>
                    </a:fld>
                    <a:r>
                      <a:rPr lang="ru-RU" baseline="0"/>
                      <a:t>; </a:t>
                    </a:r>
                    <a:fld id="{CDD50ECA-6F03-41D3-9649-8A2D6819DE9C}" type="VALUE">
                      <a:rPr lang="ru-RU" baseline="0"/>
                      <a:pPr/>
                      <a:t>[ЗНАЧЕНИЕ]</a:t>
                    </a:fld>
                    <a:r>
                      <a:rPr lang="ru-RU" baseline="0"/>
                      <a:t>; 6%</a:t>
                    </a:r>
                  </a:p>
                </c:rich>
              </c:tx>
              <c:dLblPos val="outEnd"/>
              <c:showLegendKey val="1"/>
              <c:showVal val="1"/>
              <c:showCatName val="1"/>
              <c:showSerName val="0"/>
              <c:showPercent val="1"/>
              <c:showBubbleSize val="1"/>
              <c:extLst>
                <c:ext xmlns:c15="http://schemas.microsoft.com/office/drawing/2012/chart" uri="{CE6537A1-D6FC-4f65-9D91-7224C49458BB}">
                  <c15:dlblFieldTable/>
                  <c15:showDataLabelsRange val="1"/>
                </c:ext>
              </c:extLst>
            </c:dLbl>
            <c:dLbl>
              <c:idx val="2"/>
              <c:tx>
                <c:rich>
                  <a:bodyPr/>
                  <a:lstStyle/>
                  <a:p>
                    <a:fld id="{7F54EC41-2CA9-4E6F-B187-30BD04AFD2B1}" type="CATEGORYNAME">
                      <a:rPr lang="ru-RU"/>
                      <a:pPr/>
                      <a:t>[ИМЯ КАТЕГОРИИ]</a:t>
                    </a:fld>
                    <a:r>
                      <a:rPr lang="ru-RU" baseline="0"/>
                      <a:t>; </a:t>
                    </a:r>
                    <a:fld id="{68613830-1212-4224-936B-AA5308B316EA}" type="VALUE">
                      <a:rPr lang="ru-RU" baseline="0"/>
                      <a:pPr/>
                      <a:t>[ЗНАЧЕНИЕ]</a:t>
                    </a:fld>
                    <a:r>
                      <a:rPr lang="ru-RU" baseline="0"/>
                      <a:t>; 6 %</a:t>
                    </a:r>
                  </a:p>
                </c:rich>
              </c:tx>
              <c:dLblPos val="outEnd"/>
              <c:showLegendKey val="1"/>
              <c:showVal val="1"/>
              <c:showCatName val="1"/>
              <c:showSerName val="0"/>
              <c:showPercent val="1"/>
              <c:showBubbleSize val="1"/>
              <c:extLst>
                <c:ext xmlns:c15="http://schemas.microsoft.com/office/drawing/2012/chart" uri="{CE6537A1-D6FC-4f65-9D91-7224C49458BB}">
                  <c15:dlblFieldTable/>
                  <c15:showDataLabelsRange val="1"/>
                </c:ext>
              </c:extLst>
            </c:dLbl>
            <c:dLbl>
              <c:idx val="3"/>
              <c:tx>
                <c:rich>
                  <a:bodyPr/>
                  <a:lstStyle/>
                  <a:p>
                    <a:fld id="{FF087FEA-2C9C-440C-86BC-AB91C768F88F}" type="CATEGORYNAME">
                      <a:rPr lang="ru-RU"/>
                      <a:pPr/>
                      <a:t>[ИМЯ КАТЕГОРИИ]</a:t>
                    </a:fld>
                    <a:r>
                      <a:rPr lang="ru-RU" baseline="0"/>
                      <a:t>; </a:t>
                    </a:r>
                    <a:fld id="{C76710B9-512C-4946-9AD0-85C943AB2C64}" type="VALUE">
                      <a:rPr lang="ru-RU" baseline="0"/>
                      <a:pPr/>
                      <a:t>[ЗНАЧЕНИЕ]</a:t>
                    </a:fld>
                    <a:r>
                      <a:rPr lang="ru-RU" baseline="0"/>
                      <a:t>; 28%</a:t>
                    </a:r>
                  </a:p>
                </c:rich>
              </c:tx>
              <c:dLblPos val="outEnd"/>
              <c:showLegendKey val="1"/>
              <c:showVal val="1"/>
              <c:showCatName val="1"/>
              <c:showSerName val="0"/>
              <c:showPercent val="1"/>
              <c:showBubbleSize val="1"/>
              <c:extLst>
                <c:ext xmlns:c15="http://schemas.microsoft.com/office/drawing/2012/chart" uri="{CE6537A1-D6FC-4f65-9D91-7224C49458BB}">
                  <c15:dlblFieldTable/>
                  <c15:showDataLabelsRange val="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ru-RU"/>
              </a:p>
            </c:txPr>
            <c:dLblPos val="outEnd"/>
            <c:showLegendKey val="1"/>
            <c:showVal val="1"/>
            <c:showCatName val="1"/>
            <c:showSerName val="0"/>
            <c:showPercent val="1"/>
            <c:showBubbleSize val="1"/>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howDataLabelsRange val="1"/>
              </c:ext>
            </c:extLst>
          </c:dLbls>
          <c:cat>
            <c:strRef>
              <c:f>categories</c:f>
              <c:strCache>
                <c:ptCount val="4"/>
                <c:pt idx="0">
                  <c:v>3 уровень</c:v>
                </c:pt>
                <c:pt idx="1">
                  <c:v>4 уровень</c:v>
                </c:pt>
                <c:pt idx="2">
                  <c:v>5 уровень</c:v>
                </c:pt>
                <c:pt idx="3">
                  <c:v>2 уровень</c:v>
                </c:pt>
              </c:strCache>
            </c:strRef>
          </c:cat>
          <c:val>
            <c:numRef>
              <c:f>0</c:f>
              <c:numCache>
                <c:formatCode>General</c:formatCode>
                <c:ptCount val="4"/>
                <c:pt idx="0">
                  <c:v>9</c:v>
                </c:pt>
                <c:pt idx="1">
                  <c:v>1</c:v>
                </c:pt>
                <c:pt idx="2">
                  <c:v>1</c:v>
                </c:pt>
                <c:pt idx="3">
                  <c:v>4</c:v>
                </c:pt>
              </c:numCache>
            </c:numRef>
          </c:val>
        </c:ser>
        <c:ser>
          <c:idx val="1"/>
          <c:order val="1"/>
          <c:tx>
            <c:strRef>
              <c:f>label 1</c:f>
              <c:strCache>
                <c:ptCount val="1"/>
                <c:pt idx="0">
                  <c:v>5</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0"/>
            <c:showCatName val="1"/>
            <c:showSerName val="0"/>
            <c:showPercent val="1"/>
            <c:showBubbleSize val="1"/>
            <c:showLeaderLines val="0"/>
            <c:extLst>
              <c:ext xmlns:c15="http://schemas.microsoft.com/office/drawing/2012/chart" uri="{CE6537A1-D6FC-4f65-9D91-7224C49458BB}"/>
            </c:extLst>
          </c:dLbls>
          <c:cat>
            <c:strRef>
              <c:f>categories</c:f>
              <c:strCache>
                <c:ptCount val="4"/>
                <c:pt idx="0">
                  <c:v>3 уровень</c:v>
                </c:pt>
                <c:pt idx="1">
                  <c:v>4 уровень</c:v>
                </c:pt>
                <c:pt idx="2">
                  <c:v>5 уровень</c:v>
                </c:pt>
                <c:pt idx="3">
                  <c:v>2 уровень</c:v>
                </c:pt>
              </c:strCache>
            </c:strRef>
          </c:cat>
          <c:val>
            <c:numRef>
              <c:f>1</c:f>
              <c:numCache>
                <c:formatCode>General</c:formatCode>
                <c:ptCount val="4"/>
                <c:pt idx="0">
                  <c:v>3.2</c:v>
                </c:pt>
                <c:pt idx="1">
                  <c:v>8.8000000000000007</c:v>
                </c:pt>
                <c:pt idx="2">
                  <c:v>1.5</c:v>
                </c:pt>
                <c:pt idx="3">
                  <c:v>9.02</c:v>
                </c:pt>
              </c:numCache>
            </c:numRef>
          </c:val>
        </c:ser>
        <c:ser>
          <c:idx val="2"/>
          <c:order val="2"/>
          <c:tx>
            <c:strRef>
              <c:f>label 2</c:f>
              <c:strCache>
                <c:ptCount val="1"/>
                <c:pt idx="0">
                  <c:v>Столбец 3</c:v>
                </c:pt>
              </c:strCache>
            </c:strRef>
          </c:tx>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0"/>
            <c:showCatName val="1"/>
            <c:showSerName val="0"/>
            <c:showPercent val="1"/>
            <c:showBubbleSize val="1"/>
            <c:showLeaderLines val="0"/>
            <c:extLst>
              <c:ext xmlns:c15="http://schemas.microsoft.com/office/drawing/2012/chart" uri="{CE6537A1-D6FC-4f65-9D91-7224C49458BB}"/>
            </c:extLst>
          </c:dLbls>
          <c:cat>
            <c:strRef>
              <c:f>categories</c:f>
              <c:strCache>
                <c:ptCount val="4"/>
                <c:pt idx="0">
                  <c:v>3 уровень</c:v>
                </c:pt>
                <c:pt idx="1">
                  <c:v>4 уровень</c:v>
                </c:pt>
                <c:pt idx="2">
                  <c:v>5 уровень</c:v>
                </c:pt>
                <c:pt idx="3">
                  <c:v>2 уровень</c:v>
                </c:pt>
              </c:strCache>
            </c:strRef>
          </c:cat>
          <c:val>
            <c:numRef>
              <c:f>2</c:f>
              <c:numCache>
                <c:formatCode>General</c:formatCode>
                <c:ptCount val="4"/>
                <c:pt idx="0">
                  <c:v>4.54</c:v>
                </c:pt>
                <c:pt idx="1">
                  <c:v>9.65</c:v>
                </c:pt>
                <c:pt idx="2">
                  <c:v>3.7</c:v>
                </c:pt>
                <c:pt idx="3">
                  <c:v>6.2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solidFill>
            <a:srgbClr val="474747"/>
          </a:solidFill>
        </a:ln>
        <a:effectLst/>
      </c:spPr>
      <c:txPr>
        <a:bodyPr rot="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ru-RU"/>
        </a:p>
      </c:txPr>
    </c:legend>
    <c:plotVisOnly val="1"/>
    <c:dispBlanksAs val="zero"/>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ru-RU"/>
    </a:p>
  </c:tx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15436533898815891"/>
          <c:y val="6.1160440906307512E-2"/>
          <c:w val="0.43881862366369156"/>
          <c:h val="0.9021206898493912"/>
        </c:manualLayout>
      </c:layout>
      <c:pieChart>
        <c:varyColors val="1"/>
        <c:ser>
          <c:idx val="0"/>
          <c:order val="0"/>
          <c:tx>
            <c:strRef>
              <c:f>label 0</c:f>
              <c:strCache>
                <c:ptCount val="1"/>
              </c:strCache>
            </c:strRef>
          </c:tx>
          <c:dPt>
            <c:idx val="0"/>
            <c:bubble3D val="0"/>
            <c:spPr>
              <a:solidFill>
                <a:schemeClr val="accent3">
                  <a:shade val="58000"/>
                </a:schemeClr>
              </a:solidFill>
              <a:ln>
                <a:noFill/>
              </a:ln>
              <a:effectLst/>
            </c:spPr>
          </c:dPt>
          <c:dPt>
            <c:idx val="1"/>
            <c:bubble3D val="0"/>
            <c:spPr>
              <a:solidFill>
                <a:schemeClr val="accent3">
                  <a:shade val="86000"/>
                </a:schemeClr>
              </a:solidFill>
              <a:ln>
                <a:noFill/>
              </a:ln>
              <a:effectLst/>
            </c:spPr>
          </c:dPt>
          <c:dPt>
            <c:idx val="2"/>
            <c:bubble3D val="0"/>
            <c:spPr>
              <a:solidFill>
                <a:schemeClr val="accent3">
                  <a:tint val="86000"/>
                </a:schemeClr>
              </a:solidFill>
              <a:ln>
                <a:noFill/>
              </a:ln>
              <a:effectLst/>
            </c:spPr>
          </c:dPt>
          <c:dPt>
            <c:idx val="3"/>
            <c:bubble3D val="0"/>
            <c:spPr>
              <a:solidFill>
                <a:schemeClr val="accent3">
                  <a:tint val="58000"/>
                </a:schemeClr>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dLblPos val="outEnd"/>
            <c:showLegendKey val="1"/>
            <c:showVal val="1"/>
            <c:showCatName val="1"/>
            <c:showSerName val="0"/>
            <c:showPercent val="1"/>
            <c:showBubbleSize val="1"/>
            <c:showLeaderLines val="0"/>
            <c:extLst>
              <c:ext xmlns:c15="http://schemas.microsoft.com/office/drawing/2012/chart" uri="{CE6537A1-D6FC-4f65-9D91-7224C49458BB}">
                <c15:showDataLabelsRange val="1"/>
              </c:ext>
            </c:extLst>
          </c:dLbls>
          <c:cat>
            <c:strRef>
              <c:f>categories</c:f>
              <c:strCache>
                <c:ptCount val="4"/>
                <c:pt idx="0">
                  <c:v>3 уровень</c:v>
                </c:pt>
                <c:pt idx="1">
                  <c:v>4 уровень</c:v>
                </c:pt>
                <c:pt idx="2">
                  <c:v>1 уровень</c:v>
                </c:pt>
                <c:pt idx="3">
                  <c:v>2 уровень</c:v>
                </c:pt>
              </c:strCache>
            </c:strRef>
          </c:cat>
          <c:val>
            <c:numRef>
              <c:f>0</c:f>
              <c:numCache>
                <c:formatCode>General</c:formatCode>
                <c:ptCount val="4"/>
                <c:pt idx="0">
                  <c:v>3</c:v>
                </c:pt>
                <c:pt idx="1">
                  <c:v>1</c:v>
                </c:pt>
                <c:pt idx="2">
                  <c:v>5</c:v>
                </c:pt>
                <c:pt idx="3">
                  <c:v>6</c:v>
                </c:pt>
              </c:numCache>
            </c:numRef>
          </c:val>
        </c:ser>
        <c:ser>
          <c:idx val="1"/>
          <c:order val="1"/>
          <c:tx>
            <c:strRef>
              <c:f>label 1</c:f>
              <c:strCache>
                <c:ptCount val="1"/>
                <c:pt idx="0">
                  <c:v>4</c:v>
                </c:pt>
              </c:strCache>
            </c:strRef>
          </c:tx>
          <c:dPt>
            <c:idx val="0"/>
            <c:bubble3D val="0"/>
            <c:spPr>
              <a:solidFill>
                <a:schemeClr val="accent3">
                  <a:shade val="58000"/>
                </a:schemeClr>
              </a:solidFill>
              <a:ln>
                <a:noFill/>
              </a:ln>
              <a:effectLst/>
            </c:spPr>
          </c:dPt>
          <c:dPt>
            <c:idx val="1"/>
            <c:bubble3D val="0"/>
            <c:spPr>
              <a:solidFill>
                <a:schemeClr val="accent3">
                  <a:shade val="86000"/>
                </a:schemeClr>
              </a:solidFill>
              <a:ln>
                <a:noFill/>
              </a:ln>
              <a:effectLst/>
            </c:spPr>
          </c:dPt>
          <c:dPt>
            <c:idx val="2"/>
            <c:bubble3D val="0"/>
            <c:spPr>
              <a:solidFill>
                <a:schemeClr val="accent3">
                  <a:tint val="86000"/>
                </a:schemeClr>
              </a:solidFill>
              <a:ln>
                <a:noFill/>
              </a:ln>
              <a:effectLst/>
            </c:spPr>
          </c:dPt>
          <c:dPt>
            <c:idx val="3"/>
            <c:bubble3D val="0"/>
            <c:spPr>
              <a:solidFill>
                <a:schemeClr val="accent3">
                  <a:tint val="58000"/>
                </a:schemeClr>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dLblPos val="outEnd"/>
            <c:showLegendKey val="0"/>
            <c:showVal val="0"/>
            <c:showCatName val="1"/>
            <c:showSerName val="0"/>
            <c:showPercent val="1"/>
            <c:showBubbleSize val="1"/>
            <c:showLeaderLines val="0"/>
            <c:extLst>
              <c:ext xmlns:c15="http://schemas.microsoft.com/office/drawing/2012/chart" uri="{CE6537A1-D6FC-4f65-9D91-7224C49458BB}"/>
            </c:extLst>
          </c:dLbls>
          <c:cat>
            <c:strRef>
              <c:f>categories</c:f>
              <c:strCache>
                <c:ptCount val="4"/>
                <c:pt idx="0">
                  <c:v>3 уровень</c:v>
                </c:pt>
                <c:pt idx="1">
                  <c:v>4 уровень</c:v>
                </c:pt>
                <c:pt idx="2">
                  <c:v>1 уровень</c:v>
                </c:pt>
                <c:pt idx="3">
                  <c:v>2 уровень</c:v>
                </c:pt>
              </c:strCache>
            </c:strRef>
          </c:cat>
          <c:val>
            <c:numRef>
              <c:f>1</c:f>
              <c:numCache>
                <c:formatCode>General</c:formatCode>
                <c:ptCount val="4"/>
                <c:pt idx="0">
                  <c:v>3.2</c:v>
                </c:pt>
                <c:pt idx="1">
                  <c:v>8.8000000000000007</c:v>
                </c:pt>
                <c:pt idx="2">
                  <c:v>1.5</c:v>
                </c:pt>
                <c:pt idx="3">
                  <c:v>9.02</c:v>
                </c:pt>
              </c:numCache>
            </c:numRef>
          </c:val>
        </c:ser>
        <c:ser>
          <c:idx val="2"/>
          <c:order val="2"/>
          <c:tx>
            <c:strRef>
              <c:f>label 2</c:f>
              <c:strCache>
                <c:ptCount val="1"/>
                <c:pt idx="0">
                  <c:v>Столбец 3</c:v>
                </c:pt>
              </c:strCache>
            </c:strRef>
          </c:tx>
          <c:dPt>
            <c:idx val="0"/>
            <c:bubble3D val="0"/>
            <c:spPr>
              <a:solidFill>
                <a:schemeClr val="accent3">
                  <a:shade val="58000"/>
                </a:schemeClr>
              </a:solidFill>
              <a:ln>
                <a:noFill/>
              </a:ln>
              <a:effectLst/>
            </c:spPr>
          </c:dPt>
          <c:dPt>
            <c:idx val="1"/>
            <c:bubble3D val="0"/>
            <c:spPr>
              <a:solidFill>
                <a:schemeClr val="accent3">
                  <a:shade val="86000"/>
                </a:schemeClr>
              </a:solidFill>
              <a:ln>
                <a:noFill/>
              </a:ln>
              <a:effectLst/>
            </c:spPr>
          </c:dPt>
          <c:dPt>
            <c:idx val="2"/>
            <c:bubble3D val="0"/>
            <c:spPr>
              <a:solidFill>
                <a:schemeClr val="accent3">
                  <a:tint val="86000"/>
                </a:schemeClr>
              </a:solidFill>
              <a:ln>
                <a:noFill/>
              </a:ln>
              <a:effectLst/>
            </c:spPr>
          </c:dPt>
          <c:dPt>
            <c:idx val="3"/>
            <c:bubble3D val="0"/>
            <c:spPr>
              <a:solidFill>
                <a:schemeClr val="accent3">
                  <a:tint val="58000"/>
                </a:schemeClr>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dLblPos val="outEnd"/>
            <c:showLegendKey val="0"/>
            <c:showVal val="0"/>
            <c:showCatName val="1"/>
            <c:showSerName val="0"/>
            <c:showPercent val="1"/>
            <c:showBubbleSize val="1"/>
            <c:showLeaderLines val="0"/>
            <c:extLst>
              <c:ext xmlns:c15="http://schemas.microsoft.com/office/drawing/2012/chart" uri="{CE6537A1-D6FC-4f65-9D91-7224C49458BB}"/>
            </c:extLst>
          </c:dLbls>
          <c:cat>
            <c:strRef>
              <c:f>categories</c:f>
              <c:strCache>
                <c:ptCount val="4"/>
                <c:pt idx="0">
                  <c:v>3 уровень</c:v>
                </c:pt>
                <c:pt idx="1">
                  <c:v>4 уровень</c:v>
                </c:pt>
                <c:pt idx="2">
                  <c:v>1 уровень</c:v>
                </c:pt>
                <c:pt idx="3">
                  <c:v>2 уровень</c:v>
                </c:pt>
              </c:strCache>
            </c:strRef>
          </c:cat>
          <c:val>
            <c:numRef>
              <c:f>2</c:f>
              <c:numCache>
                <c:formatCode>General</c:formatCode>
                <c:ptCount val="4"/>
                <c:pt idx="0">
                  <c:v>4.54</c:v>
                </c:pt>
                <c:pt idx="1">
                  <c:v>9.65</c:v>
                </c:pt>
                <c:pt idx="2">
                  <c:v>3.7</c:v>
                </c:pt>
                <c:pt idx="3">
                  <c:v>6.2</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ln>
                <a:noFill/>
              </a:ln>
              <a:solidFill>
                <a:schemeClr val="tx1"/>
              </a:solidFill>
              <a:latin typeface="+mn-lt"/>
              <a:ea typeface="+mn-ea"/>
              <a:cs typeface="+mn-cs"/>
            </a:defRPr>
          </a:pPr>
          <a:endParaRPr lang="ru-RU"/>
        </a:p>
      </c:txPr>
    </c:legend>
    <c:plotVisOnly val="1"/>
    <c:dispBlanksAs val="zero"/>
    <c:showDLblsOverMax val="1"/>
  </c:chart>
  <c:spPr>
    <a:solidFill>
      <a:srgbClr val="FFFFFF"/>
    </a:solidFill>
    <a:ln w="9360" cap="flat" cmpd="sng" algn="ctr">
      <a:solidFill>
        <a:srgbClr val="D9D9D9"/>
      </a:solidFill>
      <a:prstDash val="solid"/>
      <a:round/>
    </a:ln>
    <a:effectLst/>
  </c:spPr>
  <c:txPr>
    <a:bodyPr/>
    <a:lstStyle/>
    <a:p>
      <a:pPr>
        <a:defRPr/>
      </a:pPr>
      <a:endParaRPr lang="ru-RU"/>
    </a:p>
  </c:txPr>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21651793525809279"/>
          <c:y val="0.11956861423450474"/>
          <c:w val="0.39307146265807691"/>
          <c:h val="0.8075553785348818"/>
        </c:manualLayout>
      </c:layout>
      <c:pieChart>
        <c:varyColors val="1"/>
        <c:ser>
          <c:idx val="0"/>
          <c:order val="0"/>
          <c:tx>
            <c:strRef>
              <c:f>label 0</c:f>
              <c:strCache>
                <c:ptCount val="1"/>
              </c:strCache>
            </c:strRef>
          </c:tx>
          <c:dPt>
            <c:idx val="0"/>
            <c:bubble3D val="0"/>
            <c:spPr>
              <a:solidFill>
                <a:schemeClr val="dk1">
                  <a:tint val="88500"/>
                </a:schemeClr>
              </a:solidFill>
              <a:ln>
                <a:noFill/>
              </a:ln>
              <a:effectLst>
                <a:outerShdw blurRad="57150" dist="19050" dir="5400000" algn="ctr" rotWithShape="0">
                  <a:srgbClr val="000000">
                    <a:alpha val="63000"/>
                  </a:srgbClr>
                </a:outerShdw>
              </a:effectLst>
            </c:spPr>
          </c:dPt>
          <c:dPt>
            <c:idx val="1"/>
            <c:bubble3D val="0"/>
            <c:spPr>
              <a:solidFill>
                <a:schemeClr val="dk1">
                  <a:tint val="55000"/>
                </a:schemeClr>
              </a:solidFill>
              <a:ln>
                <a:noFill/>
              </a:ln>
              <a:effectLst>
                <a:outerShdw blurRad="57150" dist="19050" dir="5400000" algn="ctr" rotWithShape="0">
                  <a:srgbClr val="000000">
                    <a:alpha val="63000"/>
                  </a:srgbClr>
                </a:outerShdw>
              </a:effectLst>
            </c:spPr>
          </c:dPt>
          <c:dPt>
            <c:idx val="2"/>
            <c:bubble3D val="0"/>
            <c:spPr>
              <a:solidFill>
                <a:schemeClr val="dk1">
                  <a:tint val="75000"/>
                </a:schemeClr>
              </a:solidFill>
              <a:ln>
                <a:noFill/>
              </a:ln>
              <a:effectLst>
                <a:outerShdw blurRad="57150" dist="19050" dir="5400000" algn="ctr" rotWithShape="0">
                  <a:srgbClr val="000000">
                    <a:alpha val="63000"/>
                  </a:srgbClr>
                </a:outerShdw>
              </a:effectLst>
            </c:spPr>
          </c:dPt>
          <c:dPt>
            <c:idx val="3"/>
            <c:bubble3D val="0"/>
            <c:spPr>
              <a:solidFill>
                <a:schemeClr val="dk1">
                  <a:tint val="98500"/>
                </a:schemeClr>
              </a:solidFill>
              <a:ln>
                <a:noFill/>
              </a:ln>
              <a:effectLst>
                <a:outerShdw blurRad="57150" dist="19050" dir="5400000" algn="ctr" rotWithShape="0">
                  <a:srgbClr val="000000">
                    <a:alpha val="63000"/>
                  </a:srgbClr>
                </a:outerShdw>
              </a:effectLst>
            </c:spPr>
          </c:dPt>
          <c:dLbls>
            <c:dLbl>
              <c:idx val="0"/>
              <c:tx>
                <c:rich>
                  <a:bodyPr/>
                  <a:lstStyle/>
                  <a:p>
                    <a:fld id="{03B47FBF-C8E5-4BB1-8609-DE64C290A5FC}" type="SERIESNAME">
                      <a:rPr lang="ru-RU"/>
                      <a:pPr/>
                      <a:t>[ИМЯ РЯДА]</a:t>
                    </a:fld>
                    <a:r>
                      <a:rPr lang="ru-RU" baseline="0"/>
                      <a:t> </a:t>
                    </a:r>
                    <a:fld id="{1BAFD198-C353-4110-AEF9-260DB2D40A9A}" type="CATEGORYNAME">
                      <a:rPr lang="ru-RU" baseline="0"/>
                      <a:pPr/>
                      <a:t>[ИМЯ КАТЕГОРИИ]</a:t>
                    </a:fld>
                    <a:r>
                      <a:rPr lang="ru-RU" baseline="0"/>
                      <a:t>; </a:t>
                    </a:r>
                    <a:fld id="{C8776D1E-F214-48DD-8FBC-353AC82878F1}" type="VALUE">
                      <a:rPr lang="ru-RU" baseline="0"/>
                      <a:pPr/>
                      <a:t>[ЗНАЧЕНИЕ]</a:t>
                    </a:fld>
                    <a:r>
                      <a:rPr lang="ru-RU" baseline="0"/>
                      <a:t>; </a:t>
                    </a:r>
                    <a:fld id="{7F40EAC3-4ADE-4DA3-AAE1-F1589618B549}" type="PERCENTAGE">
                      <a:rPr lang="ru-RU" baseline="0"/>
                      <a:pPr/>
                      <a:t>[ПРОЦЕНТ]</a:t>
                    </a:fld>
                    <a:endParaRPr lang="ru-RU" baseline="0"/>
                  </a:p>
                </c:rich>
              </c:tx>
              <c:dLblPos val="outEnd"/>
              <c:showLegendKey val="1"/>
              <c:showVal val="1"/>
              <c:showCatName val="1"/>
              <c:showSerName val="1"/>
              <c:showPercent val="1"/>
              <c:showBubbleSize val="0"/>
              <c:extLst>
                <c:ext xmlns:c15="http://schemas.microsoft.com/office/drawing/2012/chart" uri="{CE6537A1-D6FC-4f65-9D91-7224C49458BB}">
                  <c15:dlblFieldTable/>
                  <c15:showDataLabelsRange val="1"/>
                </c:ext>
              </c:extLst>
            </c:dLbl>
            <c:dLbl>
              <c:idx val="1"/>
              <c:tx>
                <c:rich>
                  <a:bodyPr/>
                  <a:lstStyle/>
                  <a:p>
                    <a:fld id="{191F5D48-936B-427C-BB79-4D824F4CA56A}" type="SERIESNAME">
                      <a:rPr lang="ru-RU"/>
                      <a:pPr/>
                      <a:t>[ИМЯ РЯДА]</a:t>
                    </a:fld>
                    <a:fld id="{1AD6DB65-19AB-4C44-A43E-40BBC6188E20}" type="CATEGORYNAME">
                      <a:rPr lang="ru-RU" baseline="0"/>
                      <a:pPr/>
                      <a:t>[ИМЯ КАТЕГОРИИ]</a:t>
                    </a:fld>
                    <a:r>
                      <a:rPr lang="ru-RU" baseline="0"/>
                      <a:t>; </a:t>
                    </a:r>
                    <a:fld id="{1A37CDF8-35F2-4F9E-BD74-5EA460E69A71}" type="VALUE">
                      <a:rPr lang="ru-RU" baseline="0"/>
                      <a:pPr/>
                      <a:t>[ЗНАЧЕНИЕ]</a:t>
                    </a:fld>
                    <a:r>
                      <a:rPr lang="ru-RU" baseline="0"/>
                      <a:t>; </a:t>
                    </a:r>
                    <a:fld id="{FFF43E87-D8BE-40B3-9ECD-5C5AA0C4CC56}" type="PERCENTAGE">
                      <a:rPr lang="ru-RU" baseline="0"/>
                      <a:pPr/>
                      <a:t>[ПРОЦЕНТ]</a:t>
                    </a:fld>
                    <a:endParaRPr lang="ru-RU" baseline="0"/>
                  </a:p>
                </c:rich>
              </c:tx>
              <c:dLblPos val="outEnd"/>
              <c:showLegendKey val="1"/>
              <c:showVal val="1"/>
              <c:showCatName val="1"/>
              <c:showSerName val="1"/>
              <c:showPercent val="1"/>
              <c:showBubbleSize val="0"/>
              <c:extLst>
                <c:ext xmlns:c15="http://schemas.microsoft.com/office/drawing/2012/chart" uri="{CE6537A1-D6FC-4f65-9D91-7224C49458BB}">
                  <c15:dlblFieldTable/>
                  <c15:showDataLabelsRange val="1"/>
                </c:ext>
              </c:extLst>
            </c:dLbl>
            <c:dLbl>
              <c:idx val="2"/>
              <c:tx>
                <c:rich>
                  <a:bodyPr/>
                  <a:lstStyle/>
                  <a:p>
                    <a:fld id="{D1B0FAEF-3E6F-492A-8462-FFE74AE545D5}" type="SERIESNAME">
                      <a:rPr lang="ru-RU"/>
                      <a:pPr/>
                      <a:t>[ИМЯ РЯДА]</a:t>
                    </a:fld>
                    <a:fld id="{533F1F07-6549-4C21-98D1-EAFCF9859C1F}" type="CATEGORYNAME">
                      <a:rPr lang="ru-RU" baseline="0"/>
                      <a:pPr/>
                      <a:t>[ИМЯ КАТЕГОРИИ]</a:t>
                    </a:fld>
                    <a:r>
                      <a:rPr lang="ru-RU" baseline="0"/>
                      <a:t>; </a:t>
                    </a:r>
                    <a:fld id="{66CCE280-C577-40C9-B92E-D55651D4F2BC}" type="VALUE">
                      <a:rPr lang="ru-RU" baseline="0"/>
                      <a:pPr/>
                      <a:t>[ЗНАЧЕНИЕ]</a:t>
                    </a:fld>
                    <a:r>
                      <a:rPr lang="ru-RU" baseline="0"/>
                      <a:t>; </a:t>
                    </a:r>
                    <a:fld id="{E7F698E9-F6A3-4745-8A5F-FB501EC2277C}" type="PERCENTAGE">
                      <a:rPr lang="ru-RU" baseline="0"/>
                      <a:pPr/>
                      <a:t>[ПРОЦЕНТ]</a:t>
                    </a:fld>
                    <a:endParaRPr lang="ru-RU" baseline="0"/>
                  </a:p>
                </c:rich>
              </c:tx>
              <c:dLblPos val="outEnd"/>
              <c:showLegendKey val="1"/>
              <c:showVal val="1"/>
              <c:showCatName val="1"/>
              <c:showSerName val="1"/>
              <c:showPercent val="1"/>
              <c:showBubbleSize val="0"/>
              <c:extLst>
                <c:ext xmlns:c15="http://schemas.microsoft.com/office/drawing/2012/chart" uri="{CE6537A1-D6FC-4f65-9D91-7224C49458BB}">
                  <c15:dlblFieldTable/>
                  <c15:showDataLabelsRange val="1"/>
                </c:ext>
              </c:extLst>
            </c:dLbl>
            <c:dLbl>
              <c:idx val="3"/>
              <c:delete val="1"/>
              <c:extLst>
                <c:ext xmlns:c15="http://schemas.microsoft.com/office/drawing/2012/chart" uri="{CE6537A1-D6FC-4f65-9D91-7224C49458BB}"/>
              </c:extLst>
            </c:dLbl>
            <c:spPr>
              <a:noFill/>
              <a:ln>
                <a:noFill/>
              </a:ln>
              <a:effectLst/>
            </c:spPr>
            <c:txPr>
              <a:bodyPr rot="0" spcFirstLastPara="1" vertOverflow="ellipsis" vert="horz" wrap="square" anchor="ctr" anchorCtr="1"/>
              <a:lstStyle/>
              <a:p>
                <a:pPr>
                  <a:defRPr sz="1000" b="0" i="0" u="none" strike="noStrike" kern="1200" baseline="0">
                    <a:ln>
                      <a:noFill/>
                    </a:ln>
                    <a:solidFill>
                      <a:schemeClr val="tx1"/>
                    </a:solidFill>
                    <a:latin typeface="+mn-lt"/>
                    <a:ea typeface="+mn-ea"/>
                    <a:cs typeface="+mn-cs"/>
                  </a:defRPr>
                </a:pPr>
                <a:endParaRPr lang="ru-RU"/>
              </a:p>
            </c:txPr>
            <c:dLblPos val="outEnd"/>
            <c:showLegendKey val="1"/>
            <c:showVal val="1"/>
            <c:showCatName val="1"/>
            <c:showSerName val="1"/>
            <c:showPercent val="1"/>
            <c:showBubbleSize val="0"/>
            <c:showLeaderLines val="0"/>
            <c:extLst>
              <c:ext xmlns:c15="http://schemas.microsoft.com/office/drawing/2012/chart" uri="{CE6537A1-D6FC-4f65-9D91-7224C49458BB}">
                <c15:showDataLabelsRange val="1"/>
              </c:ext>
            </c:extLst>
          </c:dLbls>
          <c:cat>
            <c:strRef>
              <c:f>categories</c:f>
              <c:strCache>
                <c:ptCount val="4"/>
                <c:pt idx="0">
                  <c:v>1 уровень</c:v>
                </c:pt>
                <c:pt idx="1">
                  <c:v>2 уровень</c:v>
                </c:pt>
                <c:pt idx="2">
                  <c:v>3 уровень</c:v>
                </c:pt>
              </c:strCache>
            </c:strRef>
          </c:cat>
          <c:val>
            <c:numRef>
              <c:f>0</c:f>
              <c:numCache>
                <c:formatCode>General</c:formatCode>
                <c:ptCount val="4"/>
                <c:pt idx="0">
                  <c:v>2</c:v>
                </c:pt>
                <c:pt idx="1">
                  <c:v>11</c:v>
                </c:pt>
                <c:pt idx="2">
                  <c:v>2</c:v>
                </c:pt>
              </c:numCache>
            </c:numRef>
          </c:val>
        </c:ser>
        <c:ser>
          <c:idx val="1"/>
          <c:order val="1"/>
          <c:tx>
            <c:strRef>
              <c:f>label 1</c:f>
              <c:strCache>
                <c:ptCount val="1"/>
                <c:pt idx="0">
                  <c:v>5</c:v>
                </c:pt>
              </c:strCache>
            </c:strRef>
          </c:tx>
          <c:dPt>
            <c:idx val="0"/>
            <c:bubble3D val="0"/>
            <c:spPr>
              <a:solidFill>
                <a:schemeClr val="dk1">
                  <a:tint val="88500"/>
                </a:schemeClr>
              </a:solidFill>
              <a:ln>
                <a:noFill/>
              </a:ln>
              <a:effectLst>
                <a:outerShdw blurRad="57150" dist="19050" dir="5400000" algn="ctr" rotWithShape="0">
                  <a:srgbClr val="000000">
                    <a:alpha val="63000"/>
                  </a:srgbClr>
                </a:outerShdw>
              </a:effectLst>
            </c:spPr>
          </c:dPt>
          <c:dPt>
            <c:idx val="1"/>
            <c:bubble3D val="0"/>
            <c:spPr>
              <a:solidFill>
                <a:schemeClr val="dk1">
                  <a:tint val="55000"/>
                </a:schemeClr>
              </a:solidFill>
              <a:ln>
                <a:noFill/>
              </a:ln>
              <a:effectLst>
                <a:outerShdw blurRad="57150" dist="19050" dir="5400000" algn="ctr" rotWithShape="0">
                  <a:srgbClr val="000000">
                    <a:alpha val="63000"/>
                  </a:srgbClr>
                </a:outerShdw>
              </a:effectLst>
            </c:spPr>
          </c:dPt>
          <c:dPt>
            <c:idx val="2"/>
            <c:bubble3D val="0"/>
            <c:spPr>
              <a:solidFill>
                <a:schemeClr val="dk1">
                  <a:tint val="75000"/>
                </a:schemeClr>
              </a:solidFill>
              <a:ln>
                <a:noFill/>
              </a:ln>
              <a:effectLst>
                <a:outerShdw blurRad="57150" dist="19050" dir="5400000" algn="ctr" rotWithShape="0">
                  <a:srgbClr val="000000">
                    <a:alpha val="63000"/>
                  </a:srgbClr>
                </a:outerShdw>
              </a:effectLst>
            </c:spPr>
          </c:dPt>
          <c:dPt>
            <c:idx val="3"/>
            <c:bubble3D val="0"/>
            <c:spPr>
              <a:solidFill>
                <a:schemeClr val="dk1">
                  <a:tint val="98500"/>
                </a:schemeClr>
              </a:solidFill>
              <a:ln>
                <a:noFill/>
              </a:ln>
              <a:effectLst>
                <a:outerShdw blurRad="57150" dist="19050" dir="5400000" algn="ctr" rotWithShape="0">
                  <a:srgbClr val="000000">
                    <a:alpha val="63000"/>
                  </a:srgbClr>
                </a:outerShdw>
              </a:effectLst>
            </c:spPr>
          </c:dPt>
          <c:cat>
            <c:strRef>
              <c:f>categories</c:f>
              <c:strCache>
                <c:ptCount val="4"/>
                <c:pt idx="0">
                  <c:v>1 уровень</c:v>
                </c:pt>
                <c:pt idx="1">
                  <c:v>2 уровень</c:v>
                </c:pt>
                <c:pt idx="2">
                  <c:v>3 уровень</c:v>
                </c:pt>
              </c:strCache>
            </c:strRef>
          </c:cat>
          <c:val>
            <c:numRef>
              <c:f>1</c:f>
              <c:numCache>
                <c:formatCode>General</c:formatCode>
                <c:ptCount val="4"/>
                <c:pt idx="0">
                  <c:v>3.2</c:v>
                </c:pt>
                <c:pt idx="1">
                  <c:v>8.8000000000000007</c:v>
                </c:pt>
                <c:pt idx="2">
                  <c:v>1.5</c:v>
                </c:pt>
                <c:pt idx="3">
                  <c:v>9.02</c:v>
                </c:pt>
              </c:numCache>
            </c:numRef>
          </c:val>
        </c:ser>
        <c:ser>
          <c:idx val="2"/>
          <c:order val="2"/>
          <c:tx>
            <c:strRef>
              <c:f>label 2</c:f>
              <c:strCache>
                <c:ptCount val="1"/>
                <c:pt idx="0">
                  <c:v>Столбец 3</c:v>
                </c:pt>
              </c:strCache>
            </c:strRef>
          </c:tx>
          <c:dPt>
            <c:idx val="0"/>
            <c:bubble3D val="0"/>
            <c:spPr>
              <a:solidFill>
                <a:schemeClr val="dk1">
                  <a:tint val="88500"/>
                </a:schemeClr>
              </a:solidFill>
              <a:ln>
                <a:noFill/>
              </a:ln>
              <a:effectLst>
                <a:outerShdw blurRad="57150" dist="19050" dir="5400000" algn="ctr" rotWithShape="0">
                  <a:srgbClr val="000000">
                    <a:alpha val="63000"/>
                  </a:srgbClr>
                </a:outerShdw>
              </a:effectLst>
            </c:spPr>
          </c:dPt>
          <c:dPt>
            <c:idx val="1"/>
            <c:bubble3D val="0"/>
            <c:spPr>
              <a:solidFill>
                <a:schemeClr val="dk1">
                  <a:tint val="55000"/>
                </a:schemeClr>
              </a:solidFill>
              <a:ln>
                <a:noFill/>
              </a:ln>
              <a:effectLst>
                <a:outerShdw blurRad="57150" dist="19050" dir="5400000" algn="ctr" rotWithShape="0">
                  <a:srgbClr val="000000">
                    <a:alpha val="63000"/>
                  </a:srgbClr>
                </a:outerShdw>
              </a:effectLst>
            </c:spPr>
          </c:dPt>
          <c:dPt>
            <c:idx val="2"/>
            <c:bubble3D val="0"/>
            <c:spPr>
              <a:solidFill>
                <a:schemeClr val="dk1">
                  <a:tint val="75000"/>
                </a:schemeClr>
              </a:solidFill>
              <a:ln>
                <a:noFill/>
              </a:ln>
              <a:effectLst>
                <a:outerShdw blurRad="57150" dist="19050" dir="5400000" algn="ctr" rotWithShape="0">
                  <a:srgbClr val="000000">
                    <a:alpha val="63000"/>
                  </a:srgbClr>
                </a:outerShdw>
              </a:effectLst>
            </c:spPr>
          </c:dPt>
          <c:dPt>
            <c:idx val="3"/>
            <c:bubble3D val="0"/>
            <c:spPr>
              <a:solidFill>
                <a:schemeClr val="dk1">
                  <a:tint val="98500"/>
                </a:schemeClr>
              </a:solidFill>
              <a:ln>
                <a:noFill/>
              </a:ln>
              <a:effectLst>
                <a:outerShdw blurRad="57150" dist="19050" dir="5400000" algn="ctr" rotWithShape="0">
                  <a:srgbClr val="000000">
                    <a:alpha val="63000"/>
                  </a:srgbClr>
                </a:outerShdw>
              </a:effectLst>
            </c:spPr>
          </c:dPt>
          <c:cat>
            <c:strRef>
              <c:f>categories</c:f>
              <c:strCache>
                <c:ptCount val="4"/>
                <c:pt idx="0">
                  <c:v>1 уровень</c:v>
                </c:pt>
                <c:pt idx="1">
                  <c:v>2 уровень</c:v>
                </c:pt>
                <c:pt idx="2">
                  <c:v>3 уровень</c:v>
                </c:pt>
              </c:strCache>
            </c:strRef>
          </c:cat>
          <c:val>
            <c:numRef>
              <c:f>2</c:f>
              <c:numCache>
                <c:formatCode>General</c:formatCode>
                <c:ptCount val="4"/>
                <c:pt idx="0">
                  <c:v>4.54</c:v>
                </c:pt>
                <c:pt idx="1">
                  <c:v>9.65</c:v>
                </c:pt>
                <c:pt idx="2">
                  <c:v>3.7</c:v>
                </c:pt>
                <c:pt idx="3">
                  <c:v>6.2</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r"/>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ln>
                <a:noFill/>
              </a:ln>
              <a:solidFill>
                <a:schemeClr val="tx1"/>
              </a:solidFill>
              <a:latin typeface="+mn-lt"/>
              <a:ea typeface="+mn-ea"/>
              <a:cs typeface="+mn-cs"/>
            </a:defRPr>
          </a:pPr>
          <a:endParaRPr lang="ru-RU"/>
        </a:p>
      </c:txPr>
    </c:legend>
    <c:plotVisOnly val="1"/>
    <c:dispBlanksAs val="zero"/>
    <c:showDLblsOverMax val="1"/>
  </c:chart>
  <c:spPr>
    <a:solidFill>
      <a:schemeClr val="bg1"/>
    </a:solidFill>
    <a:ln w="9525" cap="flat" cmpd="sng" algn="ctr">
      <a:solidFill>
        <a:schemeClr val="tx1">
          <a:lumMod val="15000"/>
          <a:lumOff val="85000"/>
        </a:schemeClr>
      </a:solidFill>
      <a:prstDash val="solid"/>
      <a:round/>
    </a:ln>
    <a:effectLst/>
  </c:spPr>
  <c:txPr>
    <a:bodyPr/>
    <a:lstStyle/>
    <a:p>
      <a:pPr>
        <a:defRPr>
          <a:ln>
            <a:noFill/>
          </a:ln>
        </a:defRPr>
      </a:pPr>
      <a:endParaRPr lang="ru-RU"/>
    </a:p>
  </c:txPr>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20401414108950672"/>
          <c:y val="1.4014793605344786E-2"/>
          <c:w val="0.42551052547003065"/>
          <c:h val="0.94772798854688645"/>
        </c:manualLayout>
      </c:layout>
      <c:pieChart>
        <c:varyColors val="1"/>
        <c:ser>
          <c:idx val="0"/>
          <c:order val="0"/>
          <c:tx>
            <c:strRef>
              <c:f>label 0</c:f>
              <c:strCache>
                <c:ptCount val="1"/>
              </c:strCache>
            </c:strRef>
          </c:tx>
          <c:dPt>
            <c:idx val="0"/>
            <c:bubble3D val="0"/>
            <c:spPr>
              <a:solidFill>
                <a:schemeClr val="accent3">
                  <a:shade val="58000"/>
                </a:schemeClr>
              </a:solidFill>
              <a:ln>
                <a:noFill/>
              </a:ln>
              <a:effectLst/>
            </c:spPr>
          </c:dPt>
          <c:dPt>
            <c:idx val="1"/>
            <c:bubble3D val="0"/>
            <c:spPr>
              <a:solidFill>
                <a:schemeClr val="accent3">
                  <a:shade val="86000"/>
                </a:schemeClr>
              </a:solidFill>
              <a:ln>
                <a:noFill/>
              </a:ln>
              <a:effectLst/>
            </c:spPr>
          </c:dPt>
          <c:dPt>
            <c:idx val="2"/>
            <c:bubble3D val="0"/>
            <c:spPr>
              <a:solidFill>
                <a:schemeClr val="accent3">
                  <a:tint val="86000"/>
                </a:schemeClr>
              </a:solidFill>
              <a:ln>
                <a:noFill/>
              </a:ln>
              <a:effectLst/>
            </c:spPr>
          </c:dPt>
          <c:dPt>
            <c:idx val="3"/>
            <c:bubble3D val="0"/>
            <c:spPr>
              <a:solidFill>
                <a:schemeClr val="accent3">
                  <a:tint val="58000"/>
                </a:schemeClr>
              </a:solidFill>
              <a:ln>
                <a:noFill/>
              </a:ln>
              <a:effectLst/>
            </c:spPr>
          </c:dPt>
          <c:dLbls>
            <c:dLbl>
              <c:idx val="0"/>
              <c:dLblPos val="outEnd"/>
              <c:showLegendKey val="1"/>
              <c:showVal val="1"/>
              <c:showCatName val="1"/>
              <c:showSerName val="0"/>
              <c:showPercent val="1"/>
              <c:showBubbleSize val="1"/>
              <c:extLst>
                <c:ext xmlns:c15="http://schemas.microsoft.com/office/drawing/2012/chart" uri="{CE6537A1-D6FC-4f65-9D91-7224C49458BB}"/>
              </c:extLst>
            </c:dLbl>
            <c:dLbl>
              <c:idx val="1"/>
              <c:dLblPos val="outEnd"/>
              <c:showLegendKey val="1"/>
              <c:showVal val="1"/>
              <c:showCatName val="1"/>
              <c:showSerName val="0"/>
              <c:showPercent val="1"/>
              <c:showBubbleSize val="1"/>
              <c:extLst>
                <c:ext xmlns:c15="http://schemas.microsoft.com/office/drawing/2012/chart" uri="{CE6537A1-D6FC-4f65-9D91-7224C49458BB}"/>
              </c:extLst>
            </c:dLbl>
            <c:dLbl>
              <c:idx val="2"/>
              <c:layout>
                <c:manualLayout>
                  <c:x val="-2.7210884353741485E-2"/>
                  <c:y val="0"/>
                </c:manualLayout>
              </c:layout>
              <c:dLblPos val="bestFit"/>
              <c:showLegendKey val="1"/>
              <c:showVal val="1"/>
              <c:showCatName val="1"/>
              <c:showSerName val="0"/>
              <c:showPercent val="1"/>
              <c:showBubbleSize val="1"/>
              <c:extLst>
                <c:ext xmlns:c15="http://schemas.microsoft.com/office/drawing/2012/chart" uri="{CE6537A1-D6FC-4f65-9D91-7224C49458BB}"/>
              </c:extLst>
            </c:dLbl>
            <c:dLbl>
              <c:idx val="3"/>
              <c:showLegendKey val="1"/>
              <c:showVal val="0"/>
              <c:showCatName val="0"/>
              <c:showSerName val="1"/>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dLblPos val="outEnd"/>
            <c:showLegendKey val="1"/>
            <c:showVal val="1"/>
            <c:showCatName val="1"/>
            <c:showSerName val="1"/>
            <c:showPercent val="1"/>
            <c:showBubbleSize val="1"/>
            <c:showLeaderLines val="0"/>
            <c:extLst>
              <c:ext xmlns:c15="http://schemas.microsoft.com/office/drawing/2012/chart" uri="{CE6537A1-D6FC-4f65-9D91-7224C49458BB}">
                <c15:showDataLabelsRange val="1"/>
              </c:ext>
            </c:extLst>
          </c:dLbls>
          <c:cat>
            <c:strRef>
              <c:f>categories</c:f>
              <c:strCache>
                <c:ptCount val="4"/>
                <c:pt idx="0">
                  <c:v>1 уровень</c:v>
                </c:pt>
                <c:pt idx="1">
                  <c:v>2 уровень</c:v>
                </c:pt>
                <c:pt idx="2">
                  <c:v>3 уровень</c:v>
                </c:pt>
              </c:strCache>
            </c:strRef>
          </c:cat>
          <c:val>
            <c:numRef>
              <c:f>0</c:f>
              <c:numCache>
                <c:formatCode>General</c:formatCode>
                <c:ptCount val="4"/>
                <c:pt idx="0">
                  <c:v>8</c:v>
                </c:pt>
                <c:pt idx="1">
                  <c:v>5</c:v>
                </c:pt>
                <c:pt idx="2">
                  <c:v>2</c:v>
                </c:pt>
              </c:numCache>
            </c:numRef>
          </c:val>
        </c:ser>
        <c:ser>
          <c:idx val="1"/>
          <c:order val="1"/>
          <c:tx>
            <c:strRef>
              <c:f>label 1</c:f>
              <c:strCache>
                <c:ptCount val="1"/>
                <c:pt idx="0">
                  <c:v>5</c:v>
                </c:pt>
              </c:strCache>
            </c:strRef>
          </c:tx>
          <c:dPt>
            <c:idx val="0"/>
            <c:bubble3D val="0"/>
            <c:spPr>
              <a:solidFill>
                <a:schemeClr val="accent3">
                  <a:shade val="58000"/>
                </a:schemeClr>
              </a:solidFill>
              <a:ln>
                <a:noFill/>
              </a:ln>
              <a:effectLst/>
            </c:spPr>
          </c:dPt>
          <c:dPt>
            <c:idx val="1"/>
            <c:bubble3D val="0"/>
            <c:spPr>
              <a:solidFill>
                <a:schemeClr val="accent3">
                  <a:shade val="86000"/>
                </a:schemeClr>
              </a:solidFill>
              <a:ln>
                <a:noFill/>
              </a:ln>
              <a:effectLst/>
            </c:spPr>
          </c:dPt>
          <c:dPt>
            <c:idx val="2"/>
            <c:bubble3D val="0"/>
            <c:spPr>
              <a:solidFill>
                <a:schemeClr val="accent3">
                  <a:tint val="86000"/>
                </a:schemeClr>
              </a:solidFill>
              <a:ln>
                <a:noFill/>
              </a:ln>
              <a:effectLst/>
            </c:spPr>
          </c:dPt>
          <c:dPt>
            <c:idx val="3"/>
            <c:bubble3D val="0"/>
            <c:spPr>
              <a:solidFill>
                <a:schemeClr val="accent3">
                  <a:tint val="58000"/>
                </a:schemeClr>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dLblPos val="outEnd"/>
            <c:showLegendKey val="0"/>
            <c:showVal val="0"/>
            <c:showCatName val="1"/>
            <c:showSerName val="0"/>
            <c:showPercent val="1"/>
            <c:showBubbleSize val="1"/>
            <c:showLeaderLines val="0"/>
            <c:extLst>
              <c:ext xmlns:c15="http://schemas.microsoft.com/office/drawing/2012/chart" uri="{CE6537A1-D6FC-4f65-9D91-7224C49458BB}"/>
            </c:extLst>
          </c:dLbls>
          <c:cat>
            <c:strRef>
              <c:f>categories</c:f>
              <c:strCache>
                <c:ptCount val="4"/>
                <c:pt idx="0">
                  <c:v>1 уровень</c:v>
                </c:pt>
                <c:pt idx="1">
                  <c:v>2 уровень</c:v>
                </c:pt>
                <c:pt idx="2">
                  <c:v>3 уровень</c:v>
                </c:pt>
              </c:strCache>
            </c:strRef>
          </c:cat>
          <c:val>
            <c:numRef>
              <c:f>1</c:f>
              <c:numCache>
                <c:formatCode>General</c:formatCode>
                <c:ptCount val="4"/>
                <c:pt idx="0">
                  <c:v>3.2</c:v>
                </c:pt>
                <c:pt idx="1">
                  <c:v>8.8000000000000007</c:v>
                </c:pt>
                <c:pt idx="2">
                  <c:v>1.5</c:v>
                </c:pt>
                <c:pt idx="3">
                  <c:v>9.02</c:v>
                </c:pt>
              </c:numCache>
            </c:numRef>
          </c:val>
        </c:ser>
        <c:ser>
          <c:idx val="2"/>
          <c:order val="2"/>
          <c:tx>
            <c:strRef>
              <c:f>label 2</c:f>
              <c:strCache>
                <c:ptCount val="1"/>
                <c:pt idx="0">
                  <c:v>Столбец 3</c:v>
                </c:pt>
              </c:strCache>
            </c:strRef>
          </c:tx>
          <c:dPt>
            <c:idx val="0"/>
            <c:bubble3D val="0"/>
            <c:spPr>
              <a:solidFill>
                <a:schemeClr val="accent3">
                  <a:shade val="58000"/>
                </a:schemeClr>
              </a:solidFill>
              <a:ln>
                <a:noFill/>
              </a:ln>
              <a:effectLst/>
            </c:spPr>
          </c:dPt>
          <c:dPt>
            <c:idx val="1"/>
            <c:bubble3D val="0"/>
            <c:spPr>
              <a:solidFill>
                <a:schemeClr val="accent3">
                  <a:shade val="86000"/>
                </a:schemeClr>
              </a:solidFill>
              <a:ln>
                <a:noFill/>
              </a:ln>
              <a:effectLst/>
            </c:spPr>
          </c:dPt>
          <c:dPt>
            <c:idx val="2"/>
            <c:bubble3D val="0"/>
            <c:spPr>
              <a:solidFill>
                <a:schemeClr val="accent3">
                  <a:tint val="86000"/>
                </a:schemeClr>
              </a:solidFill>
              <a:ln>
                <a:noFill/>
              </a:ln>
              <a:effectLst/>
            </c:spPr>
          </c:dPt>
          <c:dPt>
            <c:idx val="3"/>
            <c:bubble3D val="0"/>
            <c:spPr>
              <a:solidFill>
                <a:schemeClr val="accent3">
                  <a:tint val="58000"/>
                </a:schemeClr>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dLblPos val="outEnd"/>
            <c:showLegendKey val="0"/>
            <c:showVal val="0"/>
            <c:showCatName val="1"/>
            <c:showSerName val="0"/>
            <c:showPercent val="1"/>
            <c:showBubbleSize val="1"/>
            <c:showLeaderLines val="0"/>
            <c:extLst>
              <c:ext xmlns:c15="http://schemas.microsoft.com/office/drawing/2012/chart" uri="{CE6537A1-D6FC-4f65-9D91-7224C49458BB}"/>
            </c:extLst>
          </c:dLbls>
          <c:cat>
            <c:strRef>
              <c:f>categories</c:f>
              <c:strCache>
                <c:ptCount val="4"/>
                <c:pt idx="0">
                  <c:v>1 уровень</c:v>
                </c:pt>
                <c:pt idx="1">
                  <c:v>2 уровень</c:v>
                </c:pt>
                <c:pt idx="2">
                  <c:v>3 уровень</c:v>
                </c:pt>
              </c:strCache>
            </c:strRef>
          </c:cat>
          <c:val>
            <c:numRef>
              <c:f>2</c:f>
              <c:numCache>
                <c:formatCode>General</c:formatCode>
                <c:ptCount val="4"/>
                <c:pt idx="0">
                  <c:v>4.54</c:v>
                </c:pt>
                <c:pt idx="1">
                  <c:v>9.65</c:v>
                </c:pt>
                <c:pt idx="2">
                  <c:v>3.7</c:v>
                </c:pt>
                <c:pt idx="3">
                  <c:v>6.2</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r"/>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legend>
    <c:plotVisOnly val="1"/>
    <c:dispBlanksAs val="zero"/>
    <c:showDLblsOverMax val="1"/>
  </c:chart>
  <c:spPr>
    <a:solidFill>
      <a:srgbClr val="FFFFFF"/>
    </a:solidFill>
    <a:ln w="9360" cap="flat" cmpd="sng" algn="ctr">
      <a:solidFill>
        <a:srgbClr val="E0E5EB"/>
      </a:solidFill>
      <a:prstDash val="solid"/>
      <a:round/>
    </a:ln>
    <a:effectLst/>
  </c:spPr>
  <c:txPr>
    <a:bodyPr/>
    <a:lstStyle/>
    <a:p>
      <a:pPr>
        <a:defRPr/>
      </a:pPr>
      <a:endParaRPr lang="ru-RU"/>
    </a:p>
  </c:txPr>
</c:chartSpace>
</file>

<file path=word/charts/colors1.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Pages>
  <Words>1274</Words>
  <Characters>7264</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dc:description/>
  <cp:lastModifiedBy>RePack by Diakov</cp:lastModifiedBy>
  <cp:revision>22</cp:revision>
  <cp:lastPrinted>2019-04-07T13:31:00Z</cp:lastPrinted>
  <dcterms:created xsi:type="dcterms:W3CDTF">2019-04-05T09:15:00Z</dcterms:created>
  <dcterms:modified xsi:type="dcterms:W3CDTF">2022-04-04T15:09:00Z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