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3EA" w:rsidRDefault="006255D4" w:rsidP="00B763E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</w:rPr>
      </w:pPr>
      <w:r>
        <w:rPr>
          <w:b/>
          <w:bCs/>
          <w:color w:val="181818"/>
          <w:sz w:val="32"/>
          <w:szCs w:val="32"/>
        </w:rPr>
        <w:t xml:space="preserve"> </w:t>
      </w:r>
      <w:r w:rsidR="00B763EA">
        <w:rPr>
          <w:b/>
          <w:bCs/>
          <w:color w:val="181818"/>
          <w:sz w:val="32"/>
          <w:szCs w:val="32"/>
        </w:rPr>
        <w:t>«Организация содержания образования в контексте развития функциональной грамотности школьников»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181818"/>
        </w:rPr>
      </w:pPr>
      <w:r>
        <w:rPr>
          <w:b/>
          <w:bCs/>
          <w:color w:val="0D0D0D"/>
        </w:rPr>
        <w:t xml:space="preserve"> «Мои ученики будут узнавать новое не от меня;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181818"/>
        </w:rPr>
      </w:pPr>
      <w:r>
        <w:rPr>
          <w:b/>
          <w:bCs/>
          <w:color w:val="0D0D0D"/>
        </w:rPr>
        <w:t>Они будут открывать это новое сами.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181818"/>
        </w:rPr>
      </w:pPr>
      <w:r>
        <w:rPr>
          <w:b/>
          <w:bCs/>
          <w:color w:val="0D0D0D"/>
        </w:rPr>
        <w:t>Моя задач</w:t>
      </w:r>
      <w:proofErr w:type="gramStart"/>
      <w:r>
        <w:rPr>
          <w:b/>
          <w:bCs/>
          <w:color w:val="0D0D0D"/>
        </w:rPr>
        <w:t>а-</w:t>
      </w:r>
      <w:proofErr w:type="gramEnd"/>
      <w:r>
        <w:rPr>
          <w:b/>
          <w:bCs/>
          <w:color w:val="0D0D0D"/>
        </w:rPr>
        <w:t xml:space="preserve"> помочь им раскрыться и развить собственные идеи»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181818"/>
        </w:rPr>
      </w:pPr>
      <w:r>
        <w:rPr>
          <w:b/>
          <w:bCs/>
          <w:color w:val="0D0D0D"/>
        </w:rPr>
        <w:t>И.Г.Песталоцци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</w:p>
    <w:p w:rsidR="00B763EA" w:rsidRDefault="0032050C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 xml:space="preserve"> </w:t>
      </w:r>
      <w:r w:rsidR="00B763EA">
        <w:rPr>
          <w:color w:val="181818"/>
        </w:rPr>
        <w:t>«Сегодня изучите обряд чайной церемонии», – сказал учитель и дал своим ученикам свиток, в котором были описаны тонкости чайной церемонии.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Ученики погрузились в чтение, а учитель ушел в парк и сидел там весь день.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Ученики успели обсудить и выучить все, что было записано на свитке.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Наконец, учитель вернулся и спросил учеников о том, что они узнали.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- «Белый журавль моет голову» – это значит, прополощи чайник кипятком, –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с гордостью сказал первый ученик.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- «Бодхисаттва входит во дворец, – это значит, положи чай в чайник</w:t>
      </w:r>
      <w:proofErr w:type="gramStart"/>
      <w:r>
        <w:rPr>
          <w:color w:val="181818"/>
        </w:rPr>
        <w:t>,»</w:t>
      </w:r>
      <w:proofErr w:type="gramEnd"/>
      <w:r>
        <w:rPr>
          <w:color w:val="181818"/>
        </w:rPr>
        <w:t xml:space="preserve"> –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добавил второй.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- «Струя греет чайник, – это значит, кипящей водой залей чайник</w:t>
      </w:r>
      <w:proofErr w:type="gramStart"/>
      <w:r>
        <w:rPr>
          <w:color w:val="181818"/>
        </w:rPr>
        <w:t>,»</w:t>
      </w:r>
      <w:proofErr w:type="gramEnd"/>
      <w:r>
        <w:rPr>
          <w:color w:val="181818"/>
        </w:rPr>
        <w:t xml:space="preserve"> –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подхватил третий.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Так ученики один за другим рассказали учителю все подробности чайной церемонии.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Только последний ученик ничего не сказал.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Он взял чайник, заварил в нем чай по всем правилам чайной церемонии и напоил учителя чаем.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- Твой рассказ был лучшим, – похвалил учитель последнего ученика. – Ты порадовал меня вкусным чаем, и тем, что постиг важное правило: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«Говори не о том, что прочел, а о том, что понял».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- Учитель, но этот ученик вообще ничего не говорил, – заметил кто-то.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- </w:t>
      </w:r>
      <w:r>
        <w:rPr>
          <w:b/>
          <w:bCs/>
          <w:color w:val="181818"/>
        </w:rPr>
        <w:t>Практические дела всегда говорят громче, чем слова</w:t>
      </w:r>
      <w:r>
        <w:rPr>
          <w:color w:val="181818"/>
        </w:rPr>
        <w:t>, – ответил учитель.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rFonts w:ascii="Arial" w:hAnsi="Arial" w:cs="Arial"/>
          <w:color w:val="181818"/>
        </w:rPr>
        <w:br/>
      </w:r>
      <w:r w:rsidR="005C0BE7">
        <w:rPr>
          <w:rFonts w:ascii="Arial" w:hAnsi="Arial" w:cs="Arial"/>
          <w:color w:val="181818"/>
        </w:rPr>
        <w:t xml:space="preserve">   </w:t>
      </w:r>
    </w:p>
    <w:p w:rsidR="00B763EA" w:rsidRDefault="005C0BE7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 xml:space="preserve">    </w:t>
      </w:r>
      <w:r w:rsidR="00B763EA">
        <w:rPr>
          <w:color w:val="181818"/>
        </w:rPr>
        <w:t>Какие методические приёмы Вы можете отметить в деятельности учителя?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/самостоятельная работа по приобретению знаний, «обучение в сотрудничестве», значимость практических знаний./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Действительно, мудрости учителя можно позавидовать. Он понимал, что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- самые прочные знания, это те, которые добыты самостоятельным трудом;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- «обучение в сотрудничестве» даёт также положительные результаты, это интерактивный метод;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- умение применять знания в жизни, это самое главное, чему мы должны учить детей.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Притча «Чайная церемония» - о знаниях и применении их на деле, говоря современным языком «функциональная грамотность школьников»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</w:rPr>
      </w:pPr>
      <w:r>
        <w:rPr>
          <w:color w:val="181818"/>
        </w:rPr>
        <w:t>:</w:t>
      </w:r>
      <w:r>
        <w:rPr>
          <w:b/>
          <w:bCs/>
          <w:color w:val="181818"/>
          <w:sz w:val="32"/>
          <w:szCs w:val="32"/>
        </w:rPr>
        <w:t> </w:t>
      </w:r>
      <w:r>
        <w:rPr>
          <w:b/>
          <w:bCs/>
          <w:color w:val="181818"/>
        </w:rPr>
        <w:t>Организация содержания образования в контексте развития функциональной грамотности школьников.</w:t>
      </w:r>
    </w:p>
    <w:p w:rsidR="00B763EA" w:rsidRDefault="005C0BE7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 xml:space="preserve">     </w:t>
      </w:r>
      <w:r w:rsidR="00B763EA">
        <w:rPr>
          <w:color w:val="181818"/>
        </w:rPr>
        <w:t>Изменения в мировой экономике XXI века, породившие необходимость приспособления к конкурентной экономической среде, обострили проблемы качества образования, поскольку </w:t>
      </w:r>
      <w:r w:rsidR="00B763EA">
        <w:rPr>
          <w:b/>
          <w:bCs/>
          <w:color w:val="181818"/>
        </w:rPr>
        <w:t>«образовательный интеллект</w:t>
      </w:r>
      <w:r w:rsidR="00B763EA">
        <w:rPr>
          <w:color w:val="181818"/>
        </w:rPr>
        <w:t>» населения рассматривается важнейшим стратегическим ресурсом государства.</w:t>
      </w:r>
    </w:p>
    <w:p w:rsidR="00B763EA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181818"/>
        </w:rPr>
        <w:t>Социально-экономические перемены в обществе задали новые параметры обучения и воспитания подрастающего поколения, потребовали кардинального пересмотра целей, результатов образования, традиционных методов преподавания, систем оценки достигнутых результатов. Словарь терминов современного педагога трактует понятие о функциональной грамотности следующим образом: </w:t>
      </w:r>
      <w:proofErr w:type="gramStart"/>
      <w:r>
        <w:rPr>
          <w:b/>
          <w:bCs/>
          <w:i/>
          <w:iCs/>
          <w:color w:val="181818"/>
        </w:rPr>
        <w:t xml:space="preserve">«Умение человека грамотно, квалифицированно функционировать во всех сферах человеческой деятельности: </w:t>
      </w:r>
      <w:r>
        <w:rPr>
          <w:b/>
          <w:bCs/>
          <w:i/>
          <w:iCs/>
          <w:color w:val="181818"/>
        </w:rPr>
        <w:lastRenderedPageBreak/>
        <w:t>работе, государстве, семье, здоровье, праве, политике, культуре».</w:t>
      </w:r>
      <w:proofErr w:type="gramEnd"/>
      <w:r>
        <w:rPr>
          <w:color w:val="181818"/>
        </w:rPr>
        <w:t> Функциональная грамотность — это индикатор общественного благополучия.</w:t>
      </w:r>
      <w:r>
        <w:rPr>
          <w:color w:val="333333"/>
          <w:sz w:val="20"/>
          <w:szCs w:val="20"/>
        </w:rPr>
        <w:t> </w:t>
      </w:r>
      <w:r>
        <w:rPr>
          <w:color w:val="181818"/>
        </w:rPr>
        <w:t>Поэтому для школы возникает очень важная цель: подготовить не отдельных элитных учащихся к жизни, а обучить мобильную личность, способной при необходимости быстро менять профессию, осваивать новые социальные роли и функции, быть конкурентоспособным. Для России особую актуальность приобретает исследование уровня функциональной грамотности учащихся, т. к. все эти функциональные навыки формируются именно в школе. И одной из основных задач школьного образования сегодня — </w:t>
      </w:r>
      <w:r>
        <w:rPr>
          <w:b/>
          <w:bCs/>
          <w:color w:val="181818"/>
        </w:rPr>
        <w:t>подготовить учащегося к адаптации в современном мире.</w:t>
      </w:r>
    </w:p>
    <w:p w:rsidR="00B763EA" w:rsidRPr="005C0BE7" w:rsidRDefault="005C0BE7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</w:rPr>
      </w:pPr>
      <w:r>
        <w:t xml:space="preserve">     </w:t>
      </w:r>
      <w:r w:rsidR="00B763EA" w:rsidRPr="005C0BE7">
        <w:t>Понятие функциональной грамотности сравнительно молодо: появилось в конце 60-х годов прошлого века в документах ЮНЕСКО и позднее вошло в обиход исследователей. Примерно до середины 70-х годов концепция и стратегия исследования связывалась с профессиональной деятельностью людей: компенсацией недостающих знаний и умений в этой сфере. В дальнейшем этот подход был признан односторонним. Функциональная грамотность стала рассматриваться в более широком смысле: включать компьютерную грамотность, политическую, экономическую грамотность и т.д.</w:t>
      </w:r>
    </w:p>
    <w:p w:rsidR="00B763EA" w:rsidRPr="00372A77" w:rsidRDefault="00B763EA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color w:val="000000"/>
        </w:rPr>
      </w:pPr>
      <w:r w:rsidRPr="005C0BE7">
        <w:rPr>
          <w:i/>
          <w:iCs/>
        </w:rPr>
        <w:t>Одним из наиболее известных международных оценочных исследований, основанных на концепции функциональной грамотности, является Международная программа оценки учебных достижений 15-летних учащихся (</w:t>
      </w:r>
      <w:proofErr w:type="spellStart"/>
      <w:r w:rsidRPr="005C0BE7">
        <w:rPr>
          <w:i/>
          <w:iCs/>
        </w:rPr>
        <w:t>ProgramforlnternationalStudentAssessment</w:t>
      </w:r>
      <w:proofErr w:type="spellEnd"/>
      <w:r w:rsidRPr="005C0BE7">
        <w:rPr>
          <w:i/>
          <w:iCs/>
        </w:rPr>
        <w:t xml:space="preserve"> - PISA), проводимой под эгидой Организации экономического сотрудничества и развития (ОЭСР). PISA оценивает способности 15-летних подростков использовать знания, умения и навыки, приобретенные в школе, для решения широкого диапазона жизненных задач в различных сферах человеческой деятельности, а также в межличностном общении и социальных отношениях.</w:t>
      </w:r>
      <w:r>
        <w:rPr>
          <w:color w:val="000000"/>
        </w:rPr>
        <w:br/>
      </w:r>
      <w:r w:rsidR="005C0BE7">
        <w:rPr>
          <w:color w:val="000000"/>
        </w:rPr>
        <w:t xml:space="preserve">     </w:t>
      </w:r>
      <w:r>
        <w:rPr>
          <w:color w:val="000000"/>
        </w:rPr>
        <w:t>Исследование PISA на сегодня рассматривается в мире как универсальный инструмент сравнительной оценки эффективности школьного образования. Данные, полученные в ходе исследования, служат основой </w:t>
      </w:r>
      <w:r>
        <w:rPr>
          <w:b/>
          <w:bCs/>
          <w:color w:val="000000"/>
        </w:rPr>
        <w:t>для определения стратегий развития системы</w:t>
      </w:r>
      <w:r>
        <w:rPr>
          <w:color w:val="000000"/>
        </w:rPr>
        <w:t> образования как с точки зрения содержания и методов обучения в целом, так и с точки зрения воздействия контекстных факторов (модель управления, язык обучения, социальный статус семьи и др.) на уровень развития функциональной грамотности школьников.</w:t>
      </w:r>
      <w:r>
        <w:rPr>
          <w:color w:val="000000"/>
        </w:rPr>
        <w:br/>
      </w:r>
      <w:r>
        <w:rPr>
          <w:color w:val="000000"/>
        </w:rPr>
        <w:br/>
        <w:t>В ходе тестирования в рамках PISA оцениваются три области функциональной грамотности: </w:t>
      </w:r>
      <w:r>
        <w:rPr>
          <w:b/>
          <w:bCs/>
          <w:color w:val="000000"/>
        </w:rPr>
        <w:t>грамотность в чтении, математическая и естественнонаучная грамотность</w:t>
      </w:r>
      <w:r>
        <w:rPr>
          <w:color w:val="000000"/>
        </w:rPr>
        <w:t xml:space="preserve">. </w:t>
      </w:r>
    </w:p>
    <w:p w:rsidR="00B763EA" w:rsidRPr="00B763EA" w:rsidRDefault="00B763EA" w:rsidP="00B763E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212529"/>
        </w:rPr>
      </w:pPr>
      <w:r w:rsidRPr="00B763EA">
        <w:rPr>
          <w:b/>
          <w:color w:val="212529"/>
        </w:rPr>
        <w:t xml:space="preserve">В общероссийской выборке в рамках исследования 2020 года участвовали около 6 тысяч </w:t>
      </w:r>
      <w:r w:rsidRPr="00372A77">
        <w:rPr>
          <w:b/>
          <w:color w:val="FF0000"/>
        </w:rPr>
        <w:t>15-летних</w:t>
      </w:r>
      <w:r w:rsidRPr="00B763EA">
        <w:rPr>
          <w:b/>
          <w:color w:val="212529"/>
        </w:rPr>
        <w:t xml:space="preserve"> обучающихся 200 школ и колледжей из 43 регионов Российской Федерации.</w:t>
      </w:r>
    </w:p>
    <w:p w:rsidR="00B763EA" w:rsidRPr="00B763EA" w:rsidRDefault="00B763EA" w:rsidP="00B763EA">
      <w:pPr>
        <w:pStyle w:val="a3"/>
        <w:shd w:val="clear" w:color="auto" w:fill="FFFFFF"/>
        <w:spacing w:before="169" w:beforeAutospacing="0" w:after="0" w:afterAutospacing="0"/>
        <w:jc w:val="both"/>
        <w:rPr>
          <w:b/>
          <w:color w:val="212529"/>
        </w:rPr>
      </w:pPr>
      <w:r w:rsidRPr="00B763EA">
        <w:rPr>
          <w:b/>
          <w:color w:val="212529"/>
        </w:rPr>
        <w:t xml:space="preserve">По итогам исследования PISA по читательской грамотности результат российских школьников повысился с 488 баллов в 2019 году до 492 баллов в 2020 году, место России в мировом рейтинге – с 26-го </w:t>
      </w:r>
      <w:proofErr w:type="gramStart"/>
      <w:r w:rsidRPr="00B763EA">
        <w:rPr>
          <w:b/>
          <w:color w:val="212529"/>
        </w:rPr>
        <w:t>до</w:t>
      </w:r>
      <w:proofErr w:type="gramEnd"/>
      <w:r w:rsidRPr="00B763EA">
        <w:rPr>
          <w:b/>
          <w:color w:val="212529"/>
        </w:rPr>
        <w:t xml:space="preserve"> 24-го. Показатель математической грамотности продемонстрировал еще более существенный рост – с 483 до 494 баллов, по нему Россия поднялась с 33-го на 27-е место. По </w:t>
      </w:r>
      <w:proofErr w:type="spellStart"/>
      <w:proofErr w:type="gramStart"/>
      <w:r w:rsidRPr="00B763EA">
        <w:rPr>
          <w:b/>
          <w:color w:val="212529"/>
        </w:rPr>
        <w:t>естественно-научной</w:t>
      </w:r>
      <w:proofErr w:type="spellEnd"/>
      <w:proofErr w:type="gramEnd"/>
      <w:r w:rsidRPr="00B763EA">
        <w:rPr>
          <w:b/>
          <w:color w:val="212529"/>
        </w:rPr>
        <w:t xml:space="preserve"> грамотности результат несколько снизился – с 479 до 472 баллов, по этому показателю Россия в 2020 году находилась на 36-м месте.</w:t>
      </w:r>
    </w:p>
    <w:p w:rsidR="00B763EA" w:rsidRDefault="00681AA5" w:rsidP="00B763EA">
      <w:pPr>
        <w:pStyle w:val="a3"/>
        <w:shd w:val="clear" w:color="auto" w:fill="FFFFFF"/>
        <w:spacing w:before="0" w:beforeAutospacing="0" w:after="0" w:afterAutospacing="0" w:line="237" w:lineRule="atLeast"/>
      </w:pPr>
      <w:r>
        <w:t xml:space="preserve">Надо отметить, что результаты России по естественнонаучной грамотности снижаются на протяжении последних нескольких циклов, причем </w:t>
      </w:r>
      <w:proofErr w:type="gramStart"/>
      <w:r>
        <w:t>начиная с PISA-2015 они стабильно ниже</w:t>
      </w:r>
      <w:proofErr w:type="gramEnd"/>
      <w:r>
        <w:t xml:space="preserve"> результатов по читательской и математической грамотности. До 2015 года ситуация была противоположной – результаты по естественнонаучной грамотности превышали результаты по другим видам грамотности. Вероятно, данную ситуацию можно связывать с обновлением концепции исследования естественнонаучной грамотности в 2015 году. Снижение результатов можно также связать с практиками преподавания предметов </w:t>
      </w:r>
      <w:r>
        <w:lastRenderedPageBreak/>
        <w:t xml:space="preserve">естественнонаучного цикла (далее – предметы ЕСН) и низким уровнем методических компетенций по этому направлению в школе. Учителя разных предметов ЕСН не вовлечены в полноценное сотрудничество друг с другом, которое предполагает совместное планирование учебной программы и проектной деятельности, согласование единых методологических подходов к изучению предметов ЕСН и т.д. </w:t>
      </w:r>
      <w:proofErr w:type="gramStart"/>
      <w:r>
        <w:t xml:space="preserve">Это приводит к тому, что предметные знания у обучающихся накапливаются изолированно, без формирования единой картины мира и системного взгляда, что препятствует успешному выполнению </w:t>
      </w:r>
      <w:proofErr w:type="spellStart"/>
      <w:r>
        <w:t>практикоориентированных</w:t>
      </w:r>
      <w:proofErr w:type="spellEnd"/>
      <w:r>
        <w:t xml:space="preserve"> задач или задач, требующих элементарного научного подхода (определения проблемы, постановки задачи, создания модели).</w:t>
      </w:r>
      <w:proofErr w:type="gramEnd"/>
      <w:r>
        <w:t xml:space="preserve"> В свою очередь, системы внеурочной деятельности и дополнительного образования недостаточно насыщены </w:t>
      </w:r>
      <w:proofErr w:type="spellStart"/>
      <w:r>
        <w:t>межпредметными</w:t>
      </w:r>
      <w:proofErr w:type="spellEnd"/>
      <w:r>
        <w:t xml:space="preserve"> связями, не используются возможности и не раскрывается потенциал, которыми эти системы обладают</w:t>
      </w:r>
    </w:p>
    <w:p w:rsidR="00681AA5" w:rsidRDefault="00681AA5" w:rsidP="00B763EA">
      <w:pPr>
        <w:pStyle w:val="a3"/>
        <w:shd w:val="clear" w:color="auto" w:fill="FFFFFF"/>
        <w:spacing w:before="0" w:beforeAutospacing="0" w:after="0" w:afterAutospacing="0" w:line="237" w:lineRule="atLeast"/>
      </w:pPr>
    </w:p>
    <w:p w:rsidR="00681AA5" w:rsidRDefault="00681AA5" w:rsidP="00681AA5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181818"/>
        </w:rPr>
      </w:pPr>
      <w:r>
        <w:rPr>
          <w:color w:val="000000"/>
        </w:rPr>
        <w:t>Как показывают результаты стран, стабильно лидирующих в исследовании PISA (Австралия, Финляндия, Япония, Новая Зеландия, Италия, Южная Корея и др.), на развитие функциональной грамотности учащихся влияют следующие факторы:</w:t>
      </w:r>
    </w:p>
    <w:p w:rsidR="00681AA5" w:rsidRDefault="00681AA5" w:rsidP="00681AA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>
        <w:rPr>
          <w:color w:val="000000"/>
        </w:rPr>
        <w:br/>
      </w:r>
      <w:proofErr w:type="gramStart"/>
      <w:r>
        <w:rPr>
          <w:color w:val="000000"/>
        </w:rPr>
        <w:t>1) содержание образования (национальные стандарты, учебные программы);</w:t>
      </w:r>
      <w:r>
        <w:rPr>
          <w:color w:val="000000"/>
        </w:rPr>
        <w:br/>
        <w:t>2) формы и методы обучения;</w:t>
      </w:r>
      <w:r>
        <w:rPr>
          <w:color w:val="000000"/>
        </w:rPr>
        <w:br/>
      </w:r>
      <w:r>
        <w:rPr>
          <w:b/>
          <w:bCs/>
          <w:color w:val="000000"/>
        </w:rPr>
        <w:t>3) </w:t>
      </w:r>
      <w:r>
        <w:rPr>
          <w:color w:val="000000"/>
        </w:rPr>
        <w:t>система диагностики и оценки учебных достижений обучающихся;</w:t>
      </w:r>
      <w:r>
        <w:rPr>
          <w:color w:val="000000"/>
        </w:rPr>
        <w:br/>
        <w:t>4) программы внешкольного, дополнительного образования;</w:t>
      </w:r>
      <w:r>
        <w:rPr>
          <w:color w:val="000000"/>
        </w:rPr>
        <w:br/>
        <w:t>5) модель управления школой (общественно-государственная форма, высокий уровень автономии школ в регулировании учебного плана);</w:t>
      </w:r>
      <w:r>
        <w:rPr>
          <w:color w:val="000000"/>
        </w:rPr>
        <w:br/>
        <w:t>6) наличие дружелюбной образовательной среды, основанной на принципах партнерства со всеми заинтересованными сторонами;</w:t>
      </w:r>
      <w:proofErr w:type="gramEnd"/>
      <w:r>
        <w:rPr>
          <w:color w:val="000000"/>
        </w:rPr>
        <w:br/>
        <w:t>7) активная роль родителей в процессе обучения и воспитания детей.</w:t>
      </w:r>
    </w:p>
    <w:p w:rsidR="00681AA5" w:rsidRDefault="00681AA5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b/>
        </w:rPr>
      </w:pPr>
    </w:p>
    <w:p w:rsidR="00681AA5" w:rsidRPr="00681AA5" w:rsidRDefault="00681AA5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b/>
        </w:rPr>
      </w:pPr>
      <w:r w:rsidRPr="00681AA5">
        <w:rPr>
          <w:b/>
        </w:rPr>
        <w:t>Выводы по имеющимся результатам на уровне школ:</w:t>
      </w:r>
    </w:p>
    <w:p w:rsidR="00681AA5" w:rsidRPr="00372A77" w:rsidRDefault="00681AA5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u w:val="single"/>
        </w:rPr>
      </w:pPr>
      <w:r w:rsidRPr="00372A77">
        <w:rPr>
          <w:u w:val="single"/>
        </w:rPr>
        <w:t>а) Снижение доли обучающихся, не преодолевших пороговый уровень (410 баллов):</w:t>
      </w:r>
    </w:p>
    <w:p w:rsidR="00681AA5" w:rsidRPr="00681AA5" w:rsidRDefault="00681AA5" w:rsidP="00B763EA">
      <w:pPr>
        <w:pStyle w:val="a3"/>
        <w:shd w:val="clear" w:color="auto" w:fill="FFFFFF"/>
        <w:spacing w:before="0" w:beforeAutospacing="0" w:after="0" w:afterAutospacing="0" w:line="237" w:lineRule="atLeast"/>
        <w:rPr>
          <w:color w:val="000000"/>
        </w:rPr>
      </w:pPr>
      <w:proofErr w:type="gramStart"/>
      <w:r>
        <w:t>пересмотр образовательных программ для неуспевающих по предметам естественнонаучного цикла, внедрение технологии индивидуализации обучения, контроль достижения индивидуальных показателей развития; внедрение технологий формирующего оценивания;</w:t>
      </w:r>
      <w:proofErr w:type="gramEnd"/>
    </w:p>
    <w:p w:rsidR="00681AA5" w:rsidRPr="00681AA5" w:rsidRDefault="00681AA5" w:rsidP="00B763EA">
      <w:pPr>
        <w:pStyle w:val="a3"/>
        <w:shd w:val="clear" w:color="auto" w:fill="F7F7F7"/>
        <w:spacing w:before="0" w:beforeAutospacing="0" w:after="0" w:afterAutospacing="0" w:line="259" w:lineRule="atLeast"/>
      </w:pPr>
      <w:r w:rsidRPr="005C0BE7">
        <w:rPr>
          <w:color w:val="000000"/>
          <w:u w:val="single"/>
        </w:rPr>
        <w:t xml:space="preserve">б) </w:t>
      </w:r>
      <w:r w:rsidRPr="005C0BE7">
        <w:rPr>
          <w:u w:val="single"/>
        </w:rPr>
        <w:t>Повышение доли обучающихся, достигающих уровня 3 грамотности (484 балла</w:t>
      </w:r>
      <w:proofErr w:type="gramStart"/>
      <w:r w:rsidRPr="005C0BE7">
        <w:rPr>
          <w:u w:val="single"/>
        </w:rPr>
        <w:t>).</w:t>
      </w:r>
      <w:r>
        <w:t xml:space="preserve"> : </w:t>
      </w:r>
      <w:proofErr w:type="gramEnd"/>
      <w:r>
        <w:t xml:space="preserve">внедрение технологии проектной деятельности; внедрение в программу обучения модулей, включающих решение практико-ориентированных, </w:t>
      </w:r>
      <w:proofErr w:type="spellStart"/>
      <w:r>
        <w:t>межпредметных</w:t>
      </w:r>
      <w:proofErr w:type="spellEnd"/>
      <w:r>
        <w:t xml:space="preserve"> задач, вовлечение учителей разных предметов в профессиональное сотрудничество;</w:t>
      </w:r>
    </w:p>
    <w:p w:rsidR="00681AA5" w:rsidRPr="00681AA5" w:rsidRDefault="00681AA5" w:rsidP="00B763EA">
      <w:pPr>
        <w:pStyle w:val="a3"/>
        <w:shd w:val="clear" w:color="auto" w:fill="F7F7F7"/>
        <w:spacing w:before="0" w:beforeAutospacing="0" w:after="0" w:afterAutospacing="0" w:line="259" w:lineRule="atLeast"/>
        <w:rPr>
          <w:color w:val="000000"/>
        </w:rPr>
      </w:pPr>
      <w:r w:rsidRPr="005C0BE7">
        <w:rPr>
          <w:color w:val="000000"/>
          <w:u w:val="single"/>
        </w:rPr>
        <w:t>в)</w:t>
      </w:r>
      <w:r w:rsidRPr="005C0BE7">
        <w:rPr>
          <w:u w:val="single"/>
        </w:rPr>
        <w:t xml:space="preserve"> Повышение доли обучающихся, достигающих 5 и 6 уровней (633 и 708 баллов):</w:t>
      </w:r>
      <w:r>
        <w:t xml:space="preserve"> развитие проектной деятельности; развитие профессионального сотрудничества педагогов ЕСН и других предметных областей;</w:t>
      </w:r>
    </w:p>
    <w:p w:rsidR="00C406CD" w:rsidRPr="005C0BE7" w:rsidRDefault="00B763EA" w:rsidP="00C406CD">
      <w:pPr>
        <w:pStyle w:val="a3"/>
        <w:shd w:val="clear" w:color="auto" w:fill="FFFFFF"/>
        <w:spacing w:before="0" w:beforeAutospacing="0" w:after="169" w:afterAutospacing="0"/>
      </w:pPr>
      <w:r>
        <w:rPr>
          <w:b/>
          <w:bCs/>
          <w:color w:val="000000"/>
        </w:rPr>
        <w:br/>
      </w:r>
      <w:r w:rsidR="00C406CD" w:rsidRPr="005C0BE7">
        <w:t xml:space="preserve">В Национальном плане можно </w:t>
      </w:r>
      <w:proofErr w:type="spellStart"/>
      <w:r w:rsidR="00C406CD" w:rsidRPr="005C0BE7">
        <w:t>укрупненно</w:t>
      </w:r>
      <w:proofErr w:type="spellEnd"/>
      <w:r w:rsidR="00C406CD" w:rsidRPr="005C0BE7">
        <w:t xml:space="preserve"> выделить 4 </w:t>
      </w:r>
      <w:proofErr w:type="gramStart"/>
      <w:r w:rsidR="00C406CD" w:rsidRPr="005C0BE7">
        <w:t>базовых</w:t>
      </w:r>
      <w:proofErr w:type="gramEnd"/>
      <w:r w:rsidR="00C406CD" w:rsidRPr="005C0BE7">
        <w:t xml:space="preserve"> механизма развития функциональной грамотности.  </w:t>
      </w:r>
    </w:p>
    <w:tbl>
      <w:tblPr>
        <w:tblW w:w="945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450"/>
      </w:tblGrid>
      <w:tr w:rsidR="00C406CD" w:rsidRPr="00C406CD" w:rsidTr="00C406CD">
        <w:tc>
          <w:tcPr>
            <w:tcW w:w="94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406CD" w:rsidRPr="005C0BE7" w:rsidRDefault="00C406CD" w:rsidP="00C406CD">
            <w:pPr>
              <w:spacing w:after="16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0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Первый механизм</w:t>
            </w: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– коренное обновление методологии и содержания обучения.</w:t>
            </w: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Эти задачи широко обсуждены на региональных и республиканской августовских </w:t>
            </w:r>
            <w:proofErr w:type="gramStart"/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конференциях</w:t>
            </w:r>
            <w:proofErr w:type="gramEnd"/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участием 20 тысяч педагогических работников.</w:t>
            </w: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Это подготовка и повышение квалификации педагогов, внедрение </w:t>
            </w:r>
            <w:proofErr w:type="spellStart"/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E-learning</w:t>
            </w:r>
            <w:proofErr w:type="spellEnd"/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новых технологий обучения и т.д.</w:t>
            </w: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Также начато системное внедрение новых педагогических технологий, ориентированных на </w:t>
            </w:r>
            <w:proofErr w:type="spellStart"/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функционально-компетентностный</w:t>
            </w:r>
            <w:proofErr w:type="spellEnd"/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подход и развитие субъектной роли школьников и учителей.</w:t>
            </w: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C0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Второй механизм</w:t>
            </w: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– модернизация системы оценки результатов обучения.</w:t>
            </w: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Развитие функциональной грамотности требует совершенно новых подходов оценки учебных достижений по новой системе критериев «знание – понимание – применение – систематизация и обобщение».</w:t>
            </w: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Важное значение</w:t>
            </w:r>
            <w:proofErr w:type="gramEnd"/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развитии функциональной грамотности имеет мониторинг и комплексная оценка достижений учеников.</w:t>
            </w: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Они будут проводиться как национальными, так и международными системами оценки.</w:t>
            </w: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Из национальных систем – это ВОУД и ЕНТ.</w:t>
            </w: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ближайшие годы у нас пройдут и международные исследования – PISA, TIMSS.</w:t>
            </w: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C0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Третий механизм развития функциональной грамотности,</w:t>
            </w: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признанный в мире – активное участие родителей в образовании и воспитании детей.</w:t>
            </w: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C0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Четвертый механизм функциональной грамотности </w:t>
            </w: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развитие дополнительного образования.</w:t>
            </w: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условиях социально-экономической модернизации обществу необходим человек, функционально грамотный, умеющий работать на результат, способный к определенным, социально значимым достижениям</w:t>
            </w:r>
            <w:proofErr w:type="gramStart"/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.. </w:t>
            </w:r>
            <w:proofErr w:type="gramEnd"/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данные качества формируются в школе.</w:t>
            </w:r>
          </w:p>
          <w:p w:rsidR="00C406CD" w:rsidRPr="005C0BE7" w:rsidRDefault="00C406CD" w:rsidP="00C406CD">
            <w:pPr>
              <w:spacing w:after="16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Основным образовательным инструментом в школе выступает организация исследовательской деятельности, которая решает задачу формирования предметных знаний на </w:t>
            </w:r>
            <w:proofErr w:type="spellStart"/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компетентностной</w:t>
            </w:r>
            <w:proofErr w:type="spellEnd"/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основе.</w:t>
            </w:r>
          </w:p>
        </w:tc>
      </w:tr>
      <w:tr w:rsidR="00C406CD" w:rsidRPr="00C406CD" w:rsidTr="00C406CD">
        <w:tc>
          <w:tcPr>
            <w:tcW w:w="94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406CD" w:rsidRPr="005C0BE7" w:rsidRDefault="00C406CD" w:rsidP="00C406CD">
            <w:pPr>
              <w:spacing w:after="16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Освоение интерактивного оборудования выводит процесс обучения на качественно новый уровень, позволяет сделать преподавание любого предмета увлекательным и динамичным, упрощая процесс взаимодействия с аудиторией, классом. Учебная работа с электронными средствами обучения, создаёт условия для использования среды в качестве:</w:t>
            </w:r>
          </w:p>
          <w:p w:rsidR="00C406CD" w:rsidRPr="005C0BE7" w:rsidRDefault="00C406CD" w:rsidP="00C406CD">
            <w:pPr>
              <w:numPr>
                <w:ilvl w:val="0"/>
                <w:numId w:val="9"/>
              </w:numPr>
              <w:spacing w:after="16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обучения, </w:t>
            </w:r>
            <w:r w:rsidRPr="005C0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повышающего эффективность и качество подготовки школьников;</w:t>
            </w:r>
          </w:p>
          <w:p w:rsidR="00C406CD" w:rsidRPr="005C0BE7" w:rsidRDefault="00C406CD" w:rsidP="00C406CD">
            <w:pPr>
              <w:numPr>
                <w:ilvl w:val="0"/>
                <w:numId w:val="9"/>
              </w:numPr>
              <w:spacing w:after="16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инструмента познания;</w:t>
            </w:r>
          </w:p>
          <w:p w:rsidR="00C406CD" w:rsidRPr="005C0BE7" w:rsidRDefault="00C406CD" w:rsidP="00C406CD">
            <w:pPr>
              <w:numPr>
                <w:ilvl w:val="0"/>
                <w:numId w:val="9"/>
              </w:numPr>
              <w:spacing w:after="16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телекоммуникации, </w:t>
            </w:r>
            <w:r w:rsidRPr="005C0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формирующего умения и навыки получения</w:t>
            </w: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5C0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необходимой информации из разнообразных источников;</w:t>
            </w:r>
          </w:p>
          <w:p w:rsidR="00C406CD" w:rsidRPr="005C0BE7" w:rsidRDefault="00C406CD" w:rsidP="00C406CD">
            <w:pPr>
              <w:numPr>
                <w:ilvl w:val="0"/>
                <w:numId w:val="9"/>
              </w:numPr>
              <w:spacing w:after="16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развития личности;</w:t>
            </w:r>
          </w:p>
          <w:p w:rsidR="00C406CD" w:rsidRPr="005C0BE7" w:rsidRDefault="00C406CD" w:rsidP="00C406CD">
            <w:pPr>
              <w:numPr>
                <w:ilvl w:val="0"/>
                <w:numId w:val="9"/>
              </w:numPr>
              <w:spacing w:after="16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эффективного </w:t>
            </w:r>
            <w:r w:rsidRPr="005C0B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инструмента контроля и коррекции результатов учебной</w:t>
            </w:r>
            <w:r w:rsidR="00372A77" w:rsidRPr="005C0B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деятельности</w:t>
            </w:r>
          </w:p>
        </w:tc>
      </w:tr>
    </w:tbl>
    <w:p w:rsidR="00C406CD" w:rsidRDefault="00C406CD" w:rsidP="006255D4">
      <w:pPr>
        <w:pStyle w:val="a3"/>
        <w:shd w:val="clear" w:color="auto" w:fill="FFFFFF"/>
        <w:spacing w:before="0" w:beforeAutospacing="0" w:after="169" w:afterAutospacing="0"/>
        <w:jc w:val="center"/>
        <w:rPr>
          <w:rFonts w:ascii="Helvetica" w:hAnsi="Helvetica"/>
          <w:color w:val="333333"/>
        </w:rPr>
      </w:pPr>
      <w:r>
        <w:rPr>
          <w:rFonts w:asciiTheme="minorHAnsi" w:hAnsiTheme="minorHAnsi"/>
          <w:b/>
          <w:bCs/>
          <w:color w:val="333333"/>
        </w:rPr>
        <w:br/>
      </w:r>
    </w:p>
    <w:p w:rsidR="00681AA5" w:rsidRPr="00C406CD" w:rsidRDefault="00681AA5" w:rsidP="00681AA5">
      <w:pPr>
        <w:pStyle w:val="a3"/>
        <w:shd w:val="clear" w:color="auto" w:fill="FFFFFF"/>
        <w:spacing w:before="0" w:beforeAutospacing="0" w:after="0" w:afterAutospacing="0" w:line="237" w:lineRule="atLeast"/>
        <w:rPr>
          <w:color w:val="000000"/>
        </w:rPr>
      </w:pPr>
    </w:p>
    <w:sectPr w:rsidR="00681AA5" w:rsidRPr="00C406CD" w:rsidSect="008B7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B2471"/>
    <w:multiLevelType w:val="multilevel"/>
    <w:tmpl w:val="A5EAA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325D35"/>
    <w:multiLevelType w:val="multilevel"/>
    <w:tmpl w:val="03B8E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F054A7"/>
    <w:multiLevelType w:val="multilevel"/>
    <w:tmpl w:val="86223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D23200"/>
    <w:multiLevelType w:val="multilevel"/>
    <w:tmpl w:val="C00E5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8F6A12"/>
    <w:multiLevelType w:val="multilevel"/>
    <w:tmpl w:val="2A661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C1A1A13"/>
    <w:multiLevelType w:val="multilevel"/>
    <w:tmpl w:val="21E83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05690F"/>
    <w:multiLevelType w:val="multilevel"/>
    <w:tmpl w:val="60FAC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2576F9"/>
    <w:multiLevelType w:val="multilevel"/>
    <w:tmpl w:val="E3F25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D202908"/>
    <w:multiLevelType w:val="multilevel"/>
    <w:tmpl w:val="8918C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5F509FB"/>
    <w:multiLevelType w:val="multilevel"/>
    <w:tmpl w:val="1B587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BA0E40"/>
    <w:multiLevelType w:val="multilevel"/>
    <w:tmpl w:val="D11CD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5"/>
  </w:num>
  <w:num w:numId="8">
    <w:abstractNumId w:val="7"/>
  </w:num>
  <w:num w:numId="9">
    <w:abstractNumId w:val="10"/>
  </w:num>
  <w:num w:numId="10">
    <w:abstractNumId w:val="4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B763EA"/>
    <w:rsid w:val="000116EA"/>
    <w:rsid w:val="00071189"/>
    <w:rsid w:val="003008D3"/>
    <w:rsid w:val="0032050C"/>
    <w:rsid w:val="00372A77"/>
    <w:rsid w:val="005C0BE7"/>
    <w:rsid w:val="006255D4"/>
    <w:rsid w:val="00626F54"/>
    <w:rsid w:val="00681AA5"/>
    <w:rsid w:val="006D045C"/>
    <w:rsid w:val="00821A3A"/>
    <w:rsid w:val="008B7224"/>
    <w:rsid w:val="009E44CD"/>
    <w:rsid w:val="00B763EA"/>
    <w:rsid w:val="00C406CD"/>
    <w:rsid w:val="00D337B6"/>
    <w:rsid w:val="00D4500C"/>
    <w:rsid w:val="00DC7322"/>
    <w:rsid w:val="00EC6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2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6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7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1725</Words>
  <Characters>9837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Алеша</dc:creator>
  <cp:lastModifiedBy>Максим</cp:lastModifiedBy>
  <cp:revision>9</cp:revision>
  <dcterms:created xsi:type="dcterms:W3CDTF">2022-01-23T16:16:00Z</dcterms:created>
  <dcterms:modified xsi:type="dcterms:W3CDTF">2022-02-22T15:11:00Z</dcterms:modified>
</cp:coreProperties>
</file>