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BCA" w:rsidRDefault="004E7BCA" w:rsidP="004E7BCA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7BCA" w:rsidRDefault="004E7BCA" w:rsidP="004E7BCA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Тема: </w:t>
      </w:r>
      <w:r w:rsidRPr="00BC3A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Подвижные игры для детей с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нарушениями в раз</w:t>
      </w:r>
      <w:r w:rsidR="00430564">
        <w:rPr>
          <w:rFonts w:ascii="Times New Roman" w:hAnsi="Times New Roman" w:cs="Times New Roman"/>
          <w:color w:val="000000" w:themeColor="text1"/>
          <w:sz w:val="24"/>
          <w:szCs w:val="24"/>
        </w:rPr>
        <w:t>витии при организации внеурочной деятельности.</w:t>
      </w:r>
    </w:p>
    <w:p w:rsidR="004E7BCA" w:rsidRDefault="00430564" w:rsidP="00430564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4E7B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Главная цель для детей с нарушением в развитии – сохранение и укрепление здоровья. Основными задачами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данном случае </w:t>
      </w:r>
      <w:r w:rsidR="004E7BCA">
        <w:rPr>
          <w:rFonts w:ascii="Times New Roman" w:hAnsi="Times New Roman" w:cs="Times New Roman"/>
          <w:color w:val="000000" w:themeColor="text1"/>
          <w:sz w:val="24"/>
          <w:szCs w:val="24"/>
        </w:rPr>
        <w:t>являются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: сохранение работоспособности на занятиях, формирование новых знаний, умений и навыков по здоровому образу жизни, умение использовать полученные знания в решении практических задач повседневной жизни, выработка стойкой мотивации на здоровый образ жизни.</w:t>
      </w:r>
    </w:p>
    <w:p w:rsidR="004E7BCA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Одной из приоритетных задач обучения детей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</w:t>
      </w:r>
      <w:r w:rsidR="004305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нарушением</w:t>
      </w:r>
      <w:proofErr w:type="gramEnd"/>
      <w:r w:rsidR="004305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развитии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ОВЗ) является создание условий для их успешной социализации. Реализация данной задачи невозможна без использования системы внеурочных занятий.</w:t>
      </w:r>
    </w:p>
    <w:p w:rsidR="004E7BCA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Сегодня – это неотъемлемая часть образовательного процесса в школе, отличающаяся от урочной системы обучения и направленная на достижение планируемых результатов освоения основной образовательной программы.</w:t>
      </w:r>
    </w:p>
    <w:p w:rsidR="004E7BCA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Среди основных направлений внеурочной деятельности обучающихся с ОВЗ в соответствии с требованиями федеральных государственных образовательных стандартов общего образования является спортивно-оздоровительное направление.</w:t>
      </w:r>
    </w:p>
    <w:p w:rsidR="004E7BCA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Программы внеурочной д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4"/>
          <w:szCs w:val="24"/>
        </w:rPr>
        <w:t>еятельности по данному направлению предполагают приобщение обучающихся с ОВЗ к ценностям здорового образа жизни, формирование у них мотивов и потребностей в бережном отношении к собственному здоровью, создание условий для сохранения и укрепления здоровья обучающихся.</w:t>
      </w:r>
    </w:p>
    <w:p w:rsidR="004E7BCA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BC3AA2">
        <w:rPr>
          <w:rFonts w:ascii="Times New Roman" w:eastAsia="Calibri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Содержание деятельности учащихся во внеурочное время на занятиях подвижными играми направлено, прежде всего, на развитие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следующих</w:t>
      </w:r>
      <w:r w:rsidRPr="00BC3AA2">
        <w:rPr>
          <w:rFonts w:ascii="Times New Roman" w:eastAsia="Calibri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УУД.</w:t>
      </w:r>
    </w:p>
    <w:p w:rsidR="004E7BCA" w:rsidRPr="004F3A43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BC3AA2">
        <w:rPr>
          <w:rFonts w:ascii="Times New Roman" w:eastAsia="Calibri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Регулятивные УУД:</w:t>
      </w:r>
    </w:p>
    <w:p w:rsidR="004E7BCA" w:rsidRPr="00BC3AA2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3AA2">
        <w:rPr>
          <w:rFonts w:ascii="Times New Roman" w:hAnsi="Times New Roman" w:cs="Times New Roman"/>
          <w:color w:val="000000" w:themeColor="text1"/>
          <w:sz w:val="24"/>
          <w:szCs w:val="24"/>
        </w:rPr>
        <w:t>- определять и формировать цель деятельности с помощью учителя;</w:t>
      </w:r>
    </w:p>
    <w:p w:rsidR="004E7BCA" w:rsidRPr="00BC3AA2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3AA2">
        <w:rPr>
          <w:rFonts w:ascii="Times New Roman" w:hAnsi="Times New Roman" w:cs="Times New Roman"/>
          <w:color w:val="000000" w:themeColor="text1"/>
          <w:sz w:val="24"/>
          <w:szCs w:val="24"/>
        </w:rPr>
        <w:t>- проговаривать последовательность действий во время занятий;</w:t>
      </w:r>
    </w:p>
    <w:p w:rsidR="004E7BCA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3AA2">
        <w:rPr>
          <w:rFonts w:ascii="Times New Roman" w:hAnsi="Times New Roman" w:cs="Times New Roman"/>
          <w:color w:val="000000" w:themeColor="text1"/>
          <w:sz w:val="24"/>
          <w:szCs w:val="24"/>
        </w:rPr>
        <w:t>- учиться работать по определенному алгоритму.</w:t>
      </w:r>
    </w:p>
    <w:p w:rsidR="004E7BCA" w:rsidRPr="00BC3AA2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BC3AA2">
        <w:rPr>
          <w:rFonts w:ascii="Times New Roman" w:hAnsi="Times New Roman" w:cs="Times New Roman"/>
          <w:color w:val="000000" w:themeColor="text1"/>
          <w:sz w:val="24"/>
          <w:szCs w:val="24"/>
        </w:rPr>
        <w:t>Познавательные УУД:</w:t>
      </w:r>
    </w:p>
    <w:p w:rsidR="004E7BCA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3AA2">
        <w:rPr>
          <w:rFonts w:ascii="Times New Roman" w:hAnsi="Times New Roman" w:cs="Times New Roman"/>
          <w:color w:val="000000" w:themeColor="text1"/>
          <w:sz w:val="24"/>
          <w:szCs w:val="24"/>
        </w:rPr>
        <w:t>- умение делать выводы в результате совместной работы класса и учителя.</w:t>
      </w:r>
    </w:p>
    <w:p w:rsidR="004E7BCA" w:rsidRPr="00BC3AA2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BC3AA2">
        <w:rPr>
          <w:rFonts w:ascii="Times New Roman" w:hAnsi="Times New Roman" w:cs="Times New Roman"/>
          <w:color w:val="000000" w:themeColor="text1"/>
          <w:sz w:val="24"/>
          <w:szCs w:val="24"/>
        </w:rPr>
        <w:t>Коммуникативные УУД:</w:t>
      </w:r>
    </w:p>
    <w:p w:rsidR="004E7BCA" w:rsidRPr="00BC3AA2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3AA2">
        <w:rPr>
          <w:rFonts w:ascii="Times New Roman" w:hAnsi="Times New Roman" w:cs="Times New Roman"/>
          <w:color w:val="000000" w:themeColor="text1"/>
          <w:sz w:val="24"/>
          <w:szCs w:val="24"/>
        </w:rPr>
        <w:t>- умение оформлять свои мысли в устной форме;</w:t>
      </w:r>
    </w:p>
    <w:p w:rsidR="004E7BCA" w:rsidRPr="00BC3AA2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3AA2">
        <w:rPr>
          <w:rFonts w:ascii="Times New Roman" w:hAnsi="Times New Roman" w:cs="Times New Roman"/>
          <w:color w:val="000000" w:themeColor="text1"/>
          <w:sz w:val="24"/>
          <w:szCs w:val="24"/>
        </w:rPr>
        <w:t>- слушать и понимать речь других;</w:t>
      </w:r>
    </w:p>
    <w:p w:rsidR="004E7BCA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3A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договариваться с одноклассниками совместно с </w:t>
      </w:r>
      <w:proofErr w:type="gramStart"/>
      <w:r w:rsidRPr="00BC3AA2">
        <w:rPr>
          <w:rFonts w:ascii="Times New Roman" w:hAnsi="Times New Roman" w:cs="Times New Roman"/>
          <w:color w:val="000000" w:themeColor="text1"/>
          <w:sz w:val="24"/>
          <w:szCs w:val="24"/>
        </w:rPr>
        <w:t>учителем  о</w:t>
      </w:r>
      <w:proofErr w:type="gramEnd"/>
      <w:r w:rsidRPr="00BC3A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правилах поведения и общения и следовать им.</w:t>
      </w:r>
    </w:p>
    <w:p w:rsidR="004E7BCA" w:rsidRPr="00BC3AA2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BC3AA2">
        <w:rPr>
          <w:rFonts w:ascii="Times New Roman" w:hAnsi="Times New Roman" w:cs="Times New Roman"/>
          <w:color w:val="000000" w:themeColor="text1"/>
          <w:sz w:val="24"/>
          <w:szCs w:val="24"/>
        </w:rPr>
        <w:t>Личностные результаты:</w:t>
      </w:r>
    </w:p>
    <w:p w:rsidR="004E7BCA" w:rsidRPr="00BC3AA2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3AA2">
        <w:rPr>
          <w:rFonts w:ascii="Times New Roman" w:hAnsi="Times New Roman" w:cs="Times New Roman"/>
          <w:color w:val="000000" w:themeColor="text1"/>
          <w:sz w:val="24"/>
          <w:szCs w:val="24"/>
        </w:rPr>
        <w:t>- оценивать поступки людей, жизненные ситуации с точки зрения общепринятых норм и ценностей;</w:t>
      </w:r>
    </w:p>
    <w:p w:rsidR="004E7BCA" w:rsidRPr="00BC3AA2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3AA2">
        <w:rPr>
          <w:rFonts w:ascii="Times New Roman" w:hAnsi="Times New Roman" w:cs="Times New Roman"/>
          <w:color w:val="000000" w:themeColor="text1"/>
          <w:sz w:val="24"/>
          <w:szCs w:val="24"/>
        </w:rPr>
        <w:t>- оценивать конкретные поступки как хорошие или плохие;</w:t>
      </w:r>
    </w:p>
    <w:p w:rsidR="004E7BCA" w:rsidRPr="00BC3AA2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3AA2">
        <w:rPr>
          <w:rFonts w:ascii="Times New Roman" w:hAnsi="Times New Roman" w:cs="Times New Roman"/>
          <w:color w:val="000000" w:themeColor="text1"/>
          <w:sz w:val="24"/>
          <w:szCs w:val="24"/>
        </w:rPr>
        <w:t>- умение выражать свои эмоции;</w:t>
      </w:r>
    </w:p>
    <w:p w:rsidR="004E7BCA" w:rsidRPr="00BC3AA2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3AA2">
        <w:rPr>
          <w:rFonts w:ascii="Times New Roman" w:hAnsi="Times New Roman" w:cs="Times New Roman"/>
          <w:color w:val="000000" w:themeColor="text1"/>
          <w:sz w:val="24"/>
          <w:szCs w:val="24"/>
        </w:rPr>
        <w:t>- понимать эмоции других людей, сочувствовать, сопереживать;</w:t>
      </w:r>
    </w:p>
    <w:p w:rsidR="004E7BCA" w:rsidRPr="00BC3AA2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3AA2">
        <w:rPr>
          <w:rFonts w:ascii="Times New Roman" w:hAnsi="Times New Roman" w:cs="Times New Roman"/>
          <w:color w:val="000000" w:themeColor="text1"/>
          <w:sz w:val="24"/>
          <w:szCs w:val="24"/>
        </w:rPr>
        <w:t>- учиться работать в паре, группе;</w:t>
      </w:r>
    </w:p>
    <w:p w:rsidR="004E7BCA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3AA2">
        <w:rPr>
          <w:rFonts w:ascii="Times New Roman" w:hAnsi="Times New Roman" w:cs="Times New Roman"/>
          <w:color w:val="000000" w:themeColor="text1"/>
          <w:sz w:val="24"/>
          <w:szCs w:val="24"/>
        </w:rPr>
        <w:t>- выполнять различные роли (лидера и исполнителя).</w:t>
      </w:r>
    </w:p>
    <w:p w:rsidR="004E7BCA" w:rsidRPr="00BC3AA2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BC3AA2">
        <w:rPr>
          <w:rFonts w:ascii="Times New Roman" w:hAnsi="Times New Roman" w:cs="Times New Roman"/>
          <w:color w:val="000000" w:themeColor="text1"/>
          <w:sz w:val="24"/>
          <w:szCs w:val="24"/>
        </w:rPr>
        <w:t>УУД – элемент преемственности урочной и внеурочной деятельности обучающихся. Формы внеурочной деятельности должны быть направлены на закрепление, развитие УУД.</w:t>
      </w:r>
    </w:p>
    <w:p w:rsidR="004E7BCA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3AA2">
        <w:rPr>
          <w:rFonts w:ascii="Times New Roman" w:hAnsi="Times New Roman" w:cs="Times New Roman"/>
          <w:color w:val="000000" w:themeColor="text1"/>
          <w:sz w:val="24"/>
          <w:szCs w:val="24"/>
        </w:rPr>
        <w:t>Универсальные учебные действия – это действия, направленные на саморазвитие и самосовершенствование путем сознательного и активного присвоения нового социального опыта.</w:t>
      </w:r>
    </w:p>
    <w:p w:rsidR="004E7BCA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Игра – важный инструмент жизненной активности ребенка. Природа дала ребенку врожденное стремление к движению, снабдив ценнейшим чувством – чувством «мышечной радости», которое он испытывает двигаясь.</w:t>
      </w:r>
    </w:p>
    <w:p w:rsidR="004E7BCA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Игра – один из современных прогрессивных методов обучения, который эффективно используется педагогами. Пользуясь игровыми приемами, мы не только полноценно </w:t>
      </w: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решаем </w:t>
      </w:r>
      <w:proofErr w:type="gramStart"/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учебные  и</w:t>
      </w:r>
      <w:proofErr w:type="gramEnd"/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воспитательные задачи,  но и легко устанавливаем контакт с ребенком. Игры способствуют развитию творческого взаимодействия между детьми, умения выразить себя невербальными средствами, а именно: жестом, мимикой, движением. Помимо снятия физического переутомления, игры содействуют сплочению детского коллектива, формированию доброжелательной и безопасной атмосферы в группе занимающихся.</w:t>
      </w:r>
    </w:p>
    <w:p w:rsidR="004E7BCA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Итак, подвижные игры выступают как одно из древнейших средств физического и нравственного воспитания детей с ОВЗ, помогающих им добиться жизненно важных и </w:t>
      </w:r>
      <w:proofErr w:type="gramStart"/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необходимых  результатов</w:t>
      </w:r>
      <w:proofErr w:type="gramEnd"/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овладении двигательной сферой, служащие средством коррекции и компенсации первичных и вторичных дефектов и создающие благоприятные условия для социальной реабилитации.</w:t>
      </w:r>
    </w:p>
    <w:p w:rsidR="004E7BCA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Дети с ОВЗ</w:t>
      </w: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(с патологией зрения, слуха, с нарушением интеллектуального развития, работы ЦНС, с РАС и др.) имеют разные физические возможности, и эту особенность необходимо учитывать при проведении подвижных игр.</w:t>
      </w:r>
    </w:p>
    <w:p w:rsidR="004E7BCA" w:rsidRPr="00E40008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Поэтому при подборе игр необходимо учитывать характер и глубину дефекта, реальные двигательные возможности ребенка и его индивидуальную реакцию на физическую нагрузку. Важно, чтобы величина нагрузки была доступной для ребенка и не вызывала у него напряжения.</w:t>
      </w:r>
    </w:p>
    <w:p w:rsidR="004E7BCA" w:rsidRPr="00E40008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Содержание и дозировка нагрузки должны предусматривать постепенность усложнения игр, чередование их по направленности, интенсивности и продолжительности, что стимулирует постоянный интерес к игровой деятельности.</w:t>
      </w:r>
    </w:p>
    <w:p w:rsidR="004E7BCA" w:rsidRPr="00E40008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Повторяя старые и предлагая детям новые игры, преподаватель должен стремиться улучшать их проведение. Только при условии прочного усвоения проводимых с детьми игр у детей с ОВЗ будут формироваться двигательные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способности</w:t>
      </w: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, развиваться интерес к игре, коллективной деятельности.</w:t>
      </w:r>
    </w:p>
    <w:p w:rsidR="004E7BCA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Вовлечения в игровую деятельность детей с ОВЗ начинается обычно с игр малой подвижности и простых по сюжету и содержанию. Простые игры подготавливают детей к более сложным, так как в них уже требуется соблюдение правил, умение слушать и выполнять команды учителя, воспитываются выдержка и дисциплинированность, необходимые в любой игре. Искренность, доброжелательность, жизнерадостность и открытость, сопереживание и умение помочь, заметить успехи – вот те качества, которые притягивают детей, вызывают их симпатию и уважение к взрослому, а иногда являются главным мотивом участия в игре. Важнейший результат игры – радость и эмоциональный подъем. Единственное требование к подвижным играм – они должны быть интересны детям.</w:t>
      </w:r>
    </w:p>
    <w:p w:rsidR="004E7BCA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Подвижные игры включаются во все виды деятельности: коррекционная образовательная деятельность; совместная деятельность преподавателя и детей; самостоятельная деятельность детей.</w:t>
      </w:r>
    </w:p>
    <w:p w:rsidR="004E7BCA" w:rsidRPr="00E40008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Результатом использования подвижных игр являются улучшения у детей с ОВЗ, следующих </w:t>
      </w:r>
      <w:proofErr w:type="spellStart"/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коррекционно</w:t>
      </w:r>
      <w:proofErr w:type="spellEnd"/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развивающих   задач:</w:t>
      </w:r>
    </w:p>
    <w:p w:rsidR="004E7BCA" w:rsidRPr="00E40008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- двигательная сфера;</w:t>
      </w:r>
    </w:p>
    <w:p w:rsidR="004E7BCA" w:rsidRPr="00E40008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-  мелкая моторика;</w:t>
      </w:r>
    </w:p>
    <w:p w:rsidR="004E7BCA" w:rsidRPr="00E40008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- развитие познавательной деятельности ребенка;</w:t>
      </w:r>
    </w:p>
    <w:p w:rsidR="004E7BCA" w:rsidRPr="00E40008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- обогащение представлений об окружающем мире;</w:t>
      </w:r>
    </w:p>
    <w:p w:rsidR="004E7BCA" w:rsidRPr="00E40008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- развитие эмоционально – волевой сферы;</w:t>
      </w:r>
    </w:p>
    <w:p w:rsidR="004E7BCA" w:rsidRPr="00E40008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- формирование коммуникативных навыков;</w:t>
      </w:r>
    </w:p>
    <w:p w:rsidR="004E7BCA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- формирование навыков культурного поведения.</w:t>
      </w:r>
    </w:p>
    <w:p w:rsidR="004E7BCA" w:rsidRPr="00E40008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Подвижные игры можно использовать во всех нозологических группах. Специалисты выделяют несколько групп с ОВЗ (ст.79 ФЗ-273):</w:t>
      </w:r>
    </w:p>
    <w:p w:rsidR="004E7BCA" w:rsidRPr="00E40008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- Нарушение зрения. Незрячие и слабовидящие дети.</w:t>
      </w:r>
    </w:p>
    <w:p w:rsidR="004E7BCA" w:rsidRPr="00E40008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- Нарушение слухового аппарата. Глухие, слабослышащие дети, а также дети с речевыми проблемами и нарушением вестибулярного аппарата.</w:t>
      </w:r>
    </w:p>
    <w:p w:rsidR="004E7BCA" w:rsidRPr="00E40008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- Задержка психического развития. Дети с интеллектуальной недостаточностью, стойким и длительным состоянием эмоциональной незрелости, а также с замедленным темпом формирования стандартных психических функций.</w:t>
      </w:r>
    </w:p>
    <w:p w:rsidR="004E7BCA" w:rsidRPr="00E40008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- Нарушение интеллектуального развития. Дети с органическим поражением головного мозга и выявленной умственной отсталостью.</w:t>
      </w:r>
    </w:p>
    <w:p w:rsidR="004E7BCA" w:rsidRPr="00E40008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- Тяжелые нарушения речи. Дети с любыми сложными нарушениями коммуникативных функций, приводящими к неспособности усвоения речи, трудности в ее распознании, к невозможности чтения или заиканию. Также специалисты относят к тяжелым нарушениям речи различные отклонения на психофизическом уровне.</w:t>
      </w:r>
    </w:p>
    <w:p w:rsidR="004E7BCA" w:rsidRPr="00E40008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Проблемы с </w:t>
      </w:r>
      <w:proofErr w:type="spellStart"/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опорно</w:t>
      </w:r>
      <w:proofErr w:type="spellEnd"/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двигательной системой. Дети с нарушением работы ЦНС, ДЦП, поражением различных участков головного мозга, отвечающих за движение.</w:t>
      </w:r>
    </w:p>
    <w:p w:rsidR="004E7BCA" w:rsidRPr="00E40008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Расстройства общения или поведения. Дети с психическими особенностями: расстройства аутистического спектра, сложности общения со сверстниками, </w:t>
      </w:r>
      <w:proofErr w:type="spellStart"/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гиперактивность</w:t>
      </w:r>
      <w:proofErr w:type="spellEnd"/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или недостаток внимания.</w:t>
      </w:r>
    </w:p>
    <w:p w:rsidR="004E7BCA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- Комплексные нарушения. Комплексным называют сочетание двух и более расстройств или нарушений развития у ребенка.</w:t>
      </w:r>
    </w:p>
    <w:p w:rsidR="004E7BCA" w:rsidRPr="00E40008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Подвижные игры можно использовать: в адаптивном физическом воспитании (на уроках адаптивной физической культуры); в адаптивной двигательной реакции (игры на переменах); в адаптивном спорте (подвижные игры выступают как вспомогательное средство для совершенствования физических качеств); в адаптивной двигательной реабилитации (элементы подвижных игр для укрепления </w:t>
      </w:r>
      <w:proofErr w:type="spellStart"/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мышечно</w:t>
      </w:r>
      <w:proofErr w:type="spellEnd"/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proofErr w:type="spellStart"/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связачного</w:t>
      </w:r>
      <w:proofErr w:type="spellEnd"/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аппарата).</w:t>
      </w:r>
    </w:p>
    <w:p w:rsidR="004E7BCA" w:rsidRPr="00E40008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Подвижная игра – совокупность действий, объединенных сюжетом и единой целью. Основными чертами игр является: наличие сюжета и соперничества, проявление интереса, эмоциональных переживаний.</w:t>
      </w:r>
    </w:p>
    <w:p w:rsidR="004E7BCA" w:rsidRPr="00E40008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Единой квалификации подвижных игр нет, даже для здоровых детей. Создание единой классификации невозможно, так как в каждой подвижной игре одновременно решается несколько задач коррекционной направленности. Предлагаемая </w:t>
      </w:r>
      <w:proofErr w:type="spellStart"/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Шапковой</w:t>
      </w:r>
      <w:proofErr w:type="spellEnd"/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Л.В. классификация подвижных игр позволяет выбрать те, которые направленно воздействуют на функции ребенка, отстающие в развитии и нуждающихся в коррекции.</w:t>
      </w:r>
    </w:p>
    <w:p w:rsidR="004E7BCA" w:rsidRPr="00E40008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По степени ответной реакции организма на игровую нагрузку:</w:t>
      </w:r>
    </w:p>
    <w:p w:rsidR="004E7BCA" w:rsidRPr="00E40008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- подвижные игры незначительной психофизической нагрузки – ЧСС до 100 уд/мин.;</w:t>
      </w:r>
    </w:p>
    <w:p w:rsidR="004E7BCA" w:rsidRPr="00E40008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- умеренной психофизической нагрузки – ЧСС до 100-120 уд/мин.;</w:t>
      </w:r>
    </w:p>
    <w:p w:rsidR="004E7BCA" w:rsidRPr="00E40008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- тонизирующей психофизической нагрузки – ЧСС до 120-140 уд/мин.;</w:t>
      </w:r>
    </w:p>
    <w:p w:rsidR="004E7BCA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- тренирующей психофизической нагрузки – ЧСС до 140-160 уд/мин.</w:t>
      </w:r>
    </w:p>
    <w:p w:rsidR="004E7BCA" w:rsidRPr="00E40008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E40008">
        <w:rPr>
          <w:rFonts w:ascii="Times New Roman" w:hAnsi="Times New Roman" w:cs="Times New Roman"/>
          <w:color w:val="000000" w:themeColor="text1"/>
          <w:sz w:val="24"/>
          <w:szCs w:val="24"/>
        </w:rPr>
        <w:t>По преобладающему виду действия: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- подвижные игры с ходьбой, бегом;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- игры с прыжками;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- игры с метанием, бросками;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с ползанием и </w:t>
      </w:r>
      <w:proofErr w:type="spellStart"/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подлезанием</w:t>
      </w:r>
      <w:proofErr w:type="spellEnd"/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- с ловлей и передачей мяча;</w:t>
      </w:r>
    </w:p>
    <w:p w:rsidR="004E7BCA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- с различными предметами.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По преимущественному развитию физических качеств: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- для развития координационных способностей;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- для развития скоростных качеств;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для развития силовых и </w:t>
      </w:r>
      <w:proofErr w:type="spellStart"/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скоростно</w:t>
      </w:r>
      <w:proofErr w:type="spellEnd"/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силовых качеств.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По форме организации и проведения подвижных игр: 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- с водящим;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- в парах, тройках;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- командные.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По виду использования </w:t>
      </w:r>
      <w:proofErr w:type="spellStart"/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межпредметных</w:t>
      </w:r>
      <w:proofErr w:type="spellEnd"/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связей: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- с речевой деятельностью;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- с представлениями о частях тела, о направлениях движения;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- с </w:t>
      </w:r>
      <w:proofErr w:type="spellStart"/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элементврными</w:t>
      </w:r>
      <w:proofErr w:type="spellEnd"/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математическими представлениями;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- с информацией об окружающем мире.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По преимущественной активизации психических процессов: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- на развитие внимания;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- на память;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- на мышление;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- на восприятие;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- на воображение;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- на активизацию речевой деятельности.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По оздоровительной направленности: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- на формирование осанки;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на укрепление </w:t>
      </w:r>
      <w:proofErr w:type="spellStart"/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мышечно</w:t>
      </w:r>
      <w:proofErr w:type="spellEnd"/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proofErr w:type="spellStart"/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связачного</w:t>
      </w:r>
      <w:proofErr w:type="spellEnd"/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аппарата, профилактику плоскостопия;</w:t>
      </w:r>
    </w:p>
    <w:p w:rsidR="004E7BCA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- на укрепление сердечно-сосудистой и дыхательной систем.</w:t>
      </w:r>
    </w:p>
    <w:p w:rsidR="004E7BCA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Но, чтобы игра приносила пользу надо правильно организовать процесс игры, правильно распределить нагрузку, позаботиться о безопасности. Регулировать нагрузку во время игры можно различными методами: 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- сокращение длительности игры;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- введение перерывов для отдыха;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- уменьшение величины игровой площадки;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- упрощение правил игры;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- сочетание в одном занятии игр различной психофизической нагрузки, например, незначительная и тренирующая психофизическая нагрузка.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При организации занятий подвижными играми важно соблюдать также следующие рекомендации: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Необходимо учитывать темп игры. Многие движения, которые ребенок не может сделать самостоятельно или делает их неправильно, при быстром темпе он выполняет эти движения в медленном темпе точнее и правильнее.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Целесообразно сочетать в одном занятии игры разной направленности и разной степени сложности.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3.</w:t>
      </w: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Чистое время занятия не должно превышать 40 минут; игры целесообразно заполнять паузами для отдыха и дыхательными упражнениями и на расслабление.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4.</w:t>
      </w: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Следует принимать во внимание заи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нтересованность, желание детей</w:t>
      </w: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играть в ту или иную игру.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5.</w:t>
      </w: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Может быть использовано музыкальное сопровождение.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6.</w:t>
      </w: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Игры должны вызывать только положительные эмоции, оказывать благоприятное вл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ияние на нервную систему детей</w:t>
      </w: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путем оптимальных нагрузок на память и внимание.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7.</w:t>
      </w: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Правила – обязательны для участников игры. При поведении игр с детьми с ОВЗ преподаватель сам определяет и корректирует правила той или иной игры, иногда несколько упрощая правила игры.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8.</w:t>
      </w: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При выраженной усталости играющий может выйти из игры.</w:t>
      </w:r>
    </w:p>
    <w:p w:rsidR="004E7BCA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9.</w:t>
      </w: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Целесообразно вводить наряду с подвижными играми эстафеты, где присутствует элемент соревнования.</w:t>
      </w:r>
    </w:p>
    <w:p w:rsidR="004E7BCA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Игра была спутником человека с незапамятных времен. Прогрессивные русские ученые – педагоги </w:t>
      </w:r>
      <w:proofErr w:type="spellStart"/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П.Ф.Лесгафт</w:t>
      </w:r>
      <w:proofErr w:type="spellEnd"/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А.П.Усова</w:t>
      </w:r>
      <w:proofErr w:type="spellEnd"/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многие другие раскрыли роль игры как деятельности, способствующей качественным изменениям в физическом и психическом развитии ребенка, оказывающей разностороннее влияние на формирование его личности. Основатель российской системы физического воспитания </w:t>
      </w:r>
      <w:proofErr w:type="spellStart"/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П.Ф.Лесгафт</w:t>
      </w:r>
      <w:proofErr w:type="spellEnd"/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отводил игре большое место, он 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пределяет игру как упражнение, п</w:t>
      </w: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ри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помощи  </w:t>
      </w: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которого</w:t>
      </w:r>
      <w:proofErr w:type="gramEnd"/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ребенок готовится к жизни. </w:t>
      </w:r>
    </w:p>
    <w:p w:rsidR="004E7BCA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Итак, выбор и методика </w:t>
      </w: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проведения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подвижных игр</w:t>
      </w: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диктуются в первую очередь степенью ог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раничения подвижности ребенка, е</w:t>
      </w: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 физическими и психическими </w:t>
      </w: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возможностями. При этом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учитывается истинный возраст, с</w:t>
      </w: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оответствующий уровню развития ребенка на данный момент. 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П</w:t>
      </w: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одвижные игры являются мощным инструментом не только для развития двигательной сферы детей с ОВЗ, но и оказывают влияние на развитие психических процессов: внимания, восприятия, обогащают сведения детей об окружающем мире, развивают мышление, сообразительность, морально- волевые качества.</w:t>
      </w:r>
    </w:p>
    <w:p w:rsidR="004E7BCA" w:rsidRPr="00ED27F1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7BCA" w:rsidRPr="00ED27F1" w:rsidRDefault="004E7BCA" w:rsidP="004E7BCA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27F1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Использованная литература:</w:t>
      </w:r>
    </w:p>
    <w:p w:rsidR="004E7BCA" w:rsidRPr="006D590F" w:rsidRDefault="004E7BCA" w:rsidP="004E7BCA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D59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Архипова Е.Ф. Коррекционная работа с детьми с церебральным параличом. М: Прогресс, 2009.</w:t>
      </w:r>
    </w:p>
    <w:p w:rsidR="004E7BCA" w:rsidRPr="006D590F" w:rsidRDefault="004E7BCA" w:rsidP="004E7BCA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6D59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Воротилкина</w:t>
      </w:r>
      <w:proofErr w:type="spellEnd"/>
      <w:r w:rsidRPr="006D59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И.М. Физкультурно-оздоровительная работа в дошкольном образовательном учреждении: Метод. </w:t>
      </w:r>
      <w:proofErr w:type="gramStart"/>
      <w:r w:rsidRPr="006D59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Пособие.-</w:t>
      </w:r>
      <w:proofErr w:type="gramEnd"/>
      <w:r w:rsidRPr="006D59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.: Изд-во НЦ ЭНАС, 2008.</w:t>
      </w:r>
    </w:p>
    <w:p w:rsidR="004E7BCA" w:rsidRPr="006D590F" w:rsidRDefault="004E7BCA" w:rsidP="004E7B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6D590F">
        <w:rPr>
          <w:rFonts w:ascii="Times New Roman" w:hAnsi="Times New Roman" w:cs="Times New Roman"/>
          <w:color w:val="000000" w:themeColor="text1"/>
          <w:sz w:val="24"/>
          <w:szCs w:val="24"/>
        </w:rPr>
        <w:t>Заморев</w:t>
      </w:r>
      <w:proofErr w:type="spellEnd"/>
      <w:r w:rsidRPr="006D59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С.И. «Игровая психотерапия», СПб, Речь, 2002.</w:t>
      </w:r>
    </w:p>
    <w:p w:rsidR="004E7BCA" w:rsidRPr="006D590F" w:rsidRDefault="004E7BCA" w:rsidP="004E7BCA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D59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Коррекционные подвижные игры и упражнения для детей с нарушениями в развитии / Под общ. ред. проф. </w:t>
      </w:r>
      <w:proofErr w:type="spellStart"/>
      <w:r w:rsidRPr="006D59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Шапковой</w:t>
      </w:r>
      <w:proofErr w:type="spellEnd"/>
      <w:r w:rsidRPr="006D59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Л.В. - М.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Советский спорт, 2002. </w:t>
      </w:r>
    </w:p>
    <w:p w:rsidR="004E7BCA" w:rsidRPr="006D590F" w:rsidRDefault="004E7BCA" w:rsidP="004E7BCA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D59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Лях В.И. Координационные способности школьников.</w:t>
      </w:r>
    </w:p>
    <w:p w:rsidR="004E7BCA" w:rsidRPr="006D590F" w:rsidRDefault="004E7BCA" w:rsidP="004E7BCA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D59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Мишин М.Л, Смирнова И.А., Ванюшина О.В.  Физическое воспитание детей с нарушением зрения. - 2004 - № 5. </w:t>
      </w:r>
    </w:p>
    <w:p w:rsidR="004E7BCA" w:rsidRPr="006D590F" w:rsidRDefault="004E7BCA" w:rsidP="004E7BCA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6D59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Мастюкова</w:t>
      </w:r>
      <w:proofErr w:type="spellEnd"/>
      <w:r w:rsidRPr="006D59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Е.М. Воспитание и обучение детей с нарушениями развития.</w:t>
      </w:r>
    </w:p>
    <w:p w:rsidR="004E7BCA" w:rsidRPr="006D590F" w:rsidRDefault="004E7BCA" w:rsidP="004E7BCA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6D59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Подвиждные</w:t>
      </w:r>
      <w:proofErr w:type="spellEnd"/>
      <w:r w:rsidRPr="006D59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игры для детей с нарушением в развитии/Под ред. </w:t>
      </w:r>
      <w:proofErr w:type="spellStart"/>
      <w:r w:rsidRPr="006D59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Шапковой</w:t>
      </w:r>
      <w:proofErr w:type="spellEnd"/>
      <w:r w:rsidRPr="006D59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6D59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Л.В..</w:t>
      </w:r>
      <w:proofErr w:type="gramEnd"/>
      <w:r w:rsidRPr="006D590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- СПб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.: Детство-Пресс, 2001. </w:t>
      </w:r>
    </w:p>
    <w:p w:rsidR="004E7BCA" w:rsidRPr="006D590F" w:rsidRDefault="004E7BCA" w:rsidP="004E7B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590F">
        <w:rPr>
          <w:rFonts w:ascii="Times New Roman" w:hAnsi="Times New Roman" w:cs="Times New Roman"/>
          <w:color w:val="000000" w:themeColor="text1"/>
          <w:sz w:val="24"/>
          <w:szCs w:val="24"/>
        </w:rPr>
        <w:t>Токарев А.А. «О влиянии подвижных игр на познавательное развитие» 2012г.</w:t>
      </w:r>
    </w:p>
    <w:p w:rsidR="004E7BCA" w:rsidRPr="006D590F" w:rsidRDefault="004E7BCA" w:rsidP="004E7B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6D590F">
        <w:rPr>
          <w:rFonts w:ascii="Times New Roman" w:hAnsi="Times New Roman" w:cs="Times New Roman"/>
          <w:color w:val="000000" w:themeColor="text1"/>
          <w:sz w:val="24"/>
          <w:szCs w:val="24"/>
        </w:rPr>
        <w:t>Щуркава</w:t>
      </w:r>
      <w:proofErr w:type="spellEnd"/>
      <w:r w:rsidRPr="006D59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Н.Е. «Игровые методики» М., 2001г.</w:t>
      </w:r>
    </w:p>
    <w:p w:rsidR="004E7BCA" w:rsidRPr="006D590F" w:rsidRDefault="004E7BCA" w:rsidP="004E7B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6D590F">
        <w:rPr>
          <w:rFonts w:ascii="Times New Roman" w:hAnsi="Times New Roman" w:cs="Times New Roman"/>
          <w:color w:val="000000" w:themeColor="text1"/>
          <w:sz w:val="24"/>
          <w:szCs w:val="24"/>
        </w:rPr>
        <w:t>Шапкова</w:t>
      </w:r>
      <w:proofErr w:type="spellEnd"/>
      <w:r w:rsidRPr="006D59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Л.В. «Подвижные игры для детей с нарушениями в развитии», СПб,</w:t>
      </w:r>
    </w:p>
    <w:p w:rsidR="004E7BCA" w:rsidRPr="006D590F" w:rsidRDefault="004E7BCA" w:rsidP="004E7BCA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59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«Детство - пресс», 2002г.</w:t>
      </w:r>
    </w:p>
    <w:p w:rsidR="004E7BCA" w:rsidRPr="006D590F" w:rsidRDefault="004E7BCA" w:rsidP="004E7BC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590F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Интернет – ресурсы: </w:t>
      </w:r>
    </w:p>
    <w:p w:rsidR="004E7BCA" w:rsidRPr="006D590F" w:rsidRDefault="004E7BCA" w:rsidP="004E7BCA">
      <w:pPr>
        <w:pStyle w:val="a3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590F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растим </w:t>
      </w:r>
      <w:proofErr w:type="spellStart"/>
      <w:proofErr w:type="gramStart"/>
      <w:r w:rsidRPr="006D590F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детей.РФ</w:t>
      </w:r>
      <w:proofErr w:type="spellEnd"/>
      <w:proofErr w:type="gramEnd"/>
      <w:r w:rsidRPr="006D590F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/</w:t>
      </w:r>
      <w:proofErr w:type="spellStart"/>
      <w:r w:rsidRPr="006D590F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/>
        </w:rPr>
        <w:t>categorieslprilozheniya</w:t>
      </w:r>
      <w:proofErr w:type="spellEnd"/>
      <w:r w:rsidRPr="006D590F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– </w:t>
      </w:r>
      <w:proofErr w:type="spellStart"/>
      <w:r w:rsidRPr="006D590F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/>
        </w:rPr>
        <w:t>dlya</w:t>
      </w:r>
      <w:proofErr w:type="spellEnd"/>
      <w:r w:rsidRPr="006D590F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– </w:t>
      </w:r>
      <w:proofErr w:type="spellStart"/>
      <w:r w:rsidRPr="006D590F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/>
        </w:rPr>
        <w:t>vsey</w:t>
      </w:r>
      <w:proofErr w:type="spellEnd"/>
      <w:r w:rsidRPr="006D590F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– </w:t>
      </w:r>
      <w:r w:rsidRPr="006D590F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/>
        </w:rPr>
        <w:t>semi</w:t>
      </w:r>
      <w:r w:rsidRPr="006D590F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;</w:t>
      </w:r>
    </w:p>
    <w:p w:rsidR="004E7BCA" w:rsidRPr="006D590F" w:rsidRDefault="004E7BCA" w:rsidP="004E7BCA">
      <w:pPr>
        <w:pStyle w:val="a3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</w:pPr>
      <w:proofErr w:type="spellStart"/>
      <w:r w:rsidRPr="006D590F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/>
        </w:rPr>
        <w:t>foxford</w:t>
      </w:r>
      <w:proofErr w:type="spellEnd"/>
      <w:r w:rsidRPr="006D590F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.</w:t>
      </w:r>
      <w:proofErr w:type="spellStart"/>
      <w:r w:rsidRPr="006D590F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/>
        </w:rPr>
        <w:t>ru</w:t>
      </w:r>
      <w:proofErr w:type="spellEnd"/>
      <w:r w:rsidRPr="006D590F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;</w:t>
      </w:r>
    </w:p>
    <w:p w:rsidR="004E7BCA" w:rsidRPr="006D590F" w:rsidRDefault="004E7BCA" w:rsidP="004E7BCA">
      <w:pPr>
        <w:pStyle w:val="a3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6D590F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/>
        </w:rPr>
        <w:t>infourok</w:t>
      </w:r>
      <w:proofErr w:type="spellEnd"/>
      <w:r w:rsidRPr="006D590F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.</w:t>
      </w:r>
      <w:proofErr w:type="spellStart"/>
      <w:r w:rsidRPr="006D590F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/>
        </w:rPr>
        <w:t>ru</w:t>
      </w:r>
      <w:proofErr w:type="spellEnd"/>
      <w:r w:rsidRPr="006D590F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.</w:t>
      </w:r>
    </w:p>
    <w:p w:rsidR="004E7BCA" w:rsidRPr="006D590F" w:rsidRDefault="004E7BCA" w:rsidP="004E7BCA">
      <w:pPr>
        <w:pStyle w:val="a3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7BCA" w:rsidRDefault="004E7BCA"/>
    <w:sectPr w:rsidR="004E7B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32CA5"/>
    <w:multiLevelType w:val="hybridMultilevel"/>
    <w:tmpl w:val="0E86A1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BCA"/>
    <w:rsid w:val="00430564"/>
    <w:rsid w:val="004E7BCA"/>
    <w:rsid w:val="00A230EA"/>
    <w:rsid w:val="00CF0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963A5"/>
  <w15:chartTrackingRefBased/>
  <w15:docId w15:val="{6F8E02FD-1E69-4AC8-A2D7-5773E166A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7BCA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2064</Words>
  <Characters>11770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</dc:creator>
  <cp:keywords/>
  <dc:description/>
  <cp:lastModifiedBy>Полина</cp:lastModifiedBy>
  <cp:revision>2</cp:revision>
  <dcterms:created xsi:type="dcterms:W3CDTF">2021-12-25T09:23:00Z</dcterms:created>
  <dcterms:modified xsi:type="dcterms:W3CDTF">2021-12-25T09:51:00Z</dcterms:modified>
</cp:coreProperties>
</file>