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709"/>
        <w:jc w:val="center"/>
        <w:spacing w:after="0" w:line="360" w:lineRule="auto"/>
        <w:rPr>
          <w:rFonts w:ascii="Times New Roman" w:hAnsi="Times New Roman"/>
          <w:b/>
          <w:bCs/>
          <w:sz w:val="32"/>
          <w:szCs w:val="32"/>
          <w:rtl w:val="off"/>
        </w:rPr>
      </w:pPr>
      <w:r>
        <w:rPr>
          <w:rFonts w:ascii="Times New Roman" w:hAnsi="Times New Roman"/>
          <w:b/>
          <w:bCs/>
          <w:sz w:val="32"/>
          <w:szCs w:val="32"/>
          <w:shd w:val="clear" w:color="auto" w:fill="FFFFFF"/>
          <w:rtl w:val="off"/>
        </w:rPr>
        <w:t xml:space="preserve">Повышение эффективности игры в защите </w:t>
      </w:r>
      <w:r>
        <w:rPr>
          <w:rFonts w:ascii="Times New Roman" w:hAnsi="Times New Roman"/>
          <w:b/>
          <w:bCs/>
          <w:sz w:val="32"/>
          <w:szCs w:val="32"/>
        </w:rPr>
        <w:t>в учебно-тренировочном процессе юных волейболисток в школьной секции</w:t>
      </w:r>
      <w:r>
        <w:rPr>
          <w:rFonts w:ascii="Times New Roman" w:hAnsi="Times New Roman"/>
          <w:b/>
          <w:bCs/>
          <w:sz w:val="32"/>
          <w:szCs w:val="32"/>
          <w:rtl w:val="off"/>
        </w:rPr>
        <w:t>.</w:t>
      </w:r>
    </w:p>
    <w:p>
      <w:pPr>
        <w:ind w:firstLine="709"/>
        <w:jc w:val="both"/>
        <w:spacing w:after="0" w:line="360" w:lineRule="auto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Спортивная игра волейбол — это одна из наиболее увлекательных и массовых видов спорта, получивших всенародное признание и большую популярность.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Волейбол включен в программы обучения физической культуре общеобразовательных учреждений, учреждений дополнительного, среднего и высшего образования.</w:t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Зародилась эта игра в 1895 году в Америке и называлась "минтонет". Её суть заключалась в том, чтобы игроки одной команды, перебивая мяч руками через сетку на сторону соперника, не позволили мячу приземлиться на своей стороне площадки. Игра быстро набирала популярность среди молодежи. Через 2 года появились правила игры, а через 25 лет проводились официальные соревнования.</w:t>
      </w:r>
    </w:p>
    <w:p>
      <w:pPr>
        <w:ind w:firstLine="709"/>
        <w:jc w:val="both"/>
        <w:spacing w:after="0" w:line="360" w:lineRule="auto"/>
        <w:rPr>
          <w:rStyle w:val="ad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течением времени происходило развитие волейбола - повышение уровня технической и тактической подготовки волейболистов, что приводило к изменениям в правилах игры.</w:t>
      </w:r>
      <w:r>
        <w:rPr>
          <w:rStyle w:val="ad"/>
          <w:sz w:val="28"/>
          <w:szCs w:val="28"/>
        </w:rPr>
        <w:t xml:space="preserve"> </w:t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Изменялись высота сетки, размер площадки, размер мяча, количество игроков, место подачи, появление линии нападения, счет в партии, количество касаний мяча игроками одной команды, замены игроков и их количество. </w:t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Техника игры тоже претерпевает изменения. В самом начале технический арсенал игроков включал подачу и передачу сверху. С ростом мастерства игроков в техническом арсенале появилась передача снизу. С  проявлением соперничества противоборствующих команд возник атакующий удар. Совершенствование техники и тактики нападения привело к поиску приемов защиты и появляется блокирование.</w:t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 эти технические приемы игры осуществляли касание мяча только руками. А изменения в технической подготовке были продиктованы ростом технико-тактической подготовки игроков.</w:t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1996 году с целью повышения зрелищности волейбола и сокращения количества моментов, останавливающих игру в тех ситуациях, когда совершенная ошибка никак не влияет на ход игры, в правила волейбола вносится изменение, направленное на активизацию эффективности действий в защите. Было разрешено касаться мяча любой частью тела, в том числе и ногой.</w:t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Такое изменение в правилах игры вносит кардинальные поправки в содержание соревновательной деятельности волейболистов, поскольку теперь они должны уметь играть еще и ногами. Соответственно, изменяются и требования к подготовке спортсменов. Появляется необходимость внесения коррективов в техническую подготовку волейболистов.</w:t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Занимающиеся теорией и методикой технической подготовки в волейболе Беляев А.В. (2011), Железняк Ю.Д. (2010), Ивойлов A.B. (2002) и др. отмечают, что в современном волейболе защита становится важнее атаки.</w:t>
      </w:r>
    </w:p>
    <w:p>
      <w:pPr>
        <w:pStyle w:val="affe"/>
        <w:ind w:firstLine="709"/>
        <w:jc w:val="both"/>
        <w:spacing w:after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Очень часто бывает, что оставить уходящий мяч в игре традиционным способом не предоставляется возможный. Игра ногой – идеальный вариант и последняя возможность достать падающий мяч.</w:t>
      </w:r>
    </w:p>
    <w:p>
      <w:pPr>
        <w:pStyle w:val="affe"/>
        <w:ind w:firstLine="709"/>
        <w:jc w:val="both"/>
        <w:spacing w:after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Этот элемент очень часто встречается в играх высокого класса, где качественный прием ногой может помочь команде выиграть очко, а иногда и партию. Однако у большинства спортсменов, занимающихся волейболом техника приема и передачи ногой далека от оптимального уровня, поскольку данный технический элемент не входит в техническую подготовку волейболистов.</w:t>
      </w:r>
    </w:p>
    <w:p>
      <w:pPr>
        <w:pStyle w:val="affe"/>
        <w:ind w:firstLine="709"/>
        <w:jc w:val="both"/>
        <w:spacing w:after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 связи с этим возникла </w:t>
      </w:r>
      <w:r>
        <w:rPr>
          <w:b/>
          <w:color w:val="000000"/>
          <w:sz w:val="28"/>
          <w:szCs w:val="28"/>
          <w:shd w:val="clear" w:color="auto" w:fill="FFFFFF"/>
        </w:rPr>
        <w:t xml:space="preserve">проблема </w:t>
      </w:r>
      <w:r>
        <w:rPr>
          <w:color w:val="000000"/>
          <w:sz w:val="28"/>
          <w:szCs w:val="28"/>
          <w:shd w:val="clear" w:color="auto" w:fill="FFFFFF"/>
        </w:rPr>
        <w:t>включения в техническую подготовку волейболисто</w:t>
      </w:r>
      <w:r>
        <w:rPr>
          <w:color w:val="000000"/>
          <w:sz w:val="28"/>
          <w:szCs w:val="28"/>
          <w:shd w:val="clear" w:color="auto" w:fill="FFFFFF"/>
          <w:rtl w:val="off"/>
        </w:rPr>
        <w:t>к</w:t>
      </w:r>
      <w:r>
        <w:rPr>
          <w:color w:val="000000"/>
          <w:sz w:val="28"/>
          <w:szCs w:val="28"/>
          <w:shd w:val="clear" w:color="auto" w:fill="FFFFFF"/>
        </w:rPr>
        <w:t xml:space="preserve"> приема и передачи мяча ногой.</w:t>
      </w:r>
    </w:p>
    <w:p>
      <w:pPr>
        <w:pStyle w:val="affe"/>
        <w:ind w:firstLine="709"/>
        <w:jc w:val="both"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 w:val="off"/>
        </w:rPr>
        <w:t>Я предлагаю включить</w:t>
      </w:r>
      <w:r>
        <w:rPr>
          <w:color w:val="000000"/>
          <w:sz w:val="28"/>
          <w:szCs w:val="28"/>
        </w:rPr>
        <w:t xml:space="preserve">  в техническую подготовку волейболисто</w:t>
      </w:r>
      <w:r>
        <w:rPr>
          <w:color w:val="000000"/>
          <w:sz w:val="28"/>
          <w:szCs w:val="28"/>
          <w:rtl w:val="off"/>
        </w:rPr>
        <w:t>к, занимающихся в спортивной секции,</w:t>
      </w:r>
      <w:r>
        <w:rPr>
          <w:color w:val="000000"/>
          <w:sz w:val="28"/>
          <w:szCs w:val="28"/>
        </w:rPr>
        <w:t xml:space="preserve"> прием и передачи мяча ногой как достаточно эффективного и иногда единственно возможного способа </w:t>
      </w:r>
      <w:r>
        <w:rPr>
          <w:color w:val="000000"/>
          <w:sz w:val="28"/>
          <w:szCs w:val="28"/>
          <w:rtl w:val="off"/>
        </w:rPr>
        <w:t>оставить мяч в игре.</w:t>
      </w:r>
    </w:p>
    <w:p>
      <w:pPr>
        <w:pStyle w:val="affe"/>
        <w:ind w:firstLine="709"/>
        <w:jc w:val="both"/>
        <w:spacing w:after="0" w:line="360" w:lineRule="auto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Целью </w:t>
      </w:r>
      <w:r>
        <w:rPr>
          <w:color w:val="000000"/>
          <w:sz w:val="28"/>
          <w:szCs w:val="28"/>
          <w:rtl w:val="off"/>
        </w:rPr>
        <w:t xml:space="preserve">данной методической разработки </w:t>
      </w:r>
      <w:r>
        <w:rPr>
          <w:color w:val="000000"/>
          <w:sz w:val="28"/>
          <w:szCs w:val="28"/>
        </w:rPr>
        <w:t>является</w:t>
      </w:r>
      <w:r>
        <w:rPr>
          <w:sz w:val="28"/>
          <w:szCs w:val="28"/>
          <w:spacing w:val="-2"/>
        </w:rPr>
        <w:t xml:space="preserve"> совершенствование технической подготовки юных волейболисток включением в неё приема мяча ногой.</w:t>
      </w:r>
    </w:p>
    <w:p>
      <w:pPr>
        <w:ind w:firstLine="709"/>
        <w:autoSpaceDE w:val="off"/>
        <w:autoSpaceDN w:val="off"/>
        <w:jc w:val="both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rtl w:val="o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rtl w:val="off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азработанная методика обучения приему мяча ногой в волейболе может быть использована в учебно-тренировочном процессе групп начальной подготовки не только девочек, но и мальчиков. Данная методика может найти практическое применение в физическом воспитании учащихся общеобразовательных, средних специальных и высших профессиональных образовательных учреждений.</w:t>
      </w:r>
    </w:p>
    <w:p>
      <w:pPr>
        <w:ind w:firstLineChars="261" w:firstLine="731"/>
        <w:jc w:val="both"/>
        <w:spacing w:after="28" w:line="360" w:lineRule="auto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rtl w:val="off"/>
        </w:rPr>
        <w:t xml:space="preserve">Обучение приема мяча ногой необходимо начинать после того, как юные спортсмены овладеют приемом снизу (нижняя передача). </w:t>
      </w:r>
      <w:r>
        <w:rPr>
          <w:rFonts w:ascii="Times New Roman" w:hAnsi="Times New Roman"/>
          <w:sz w:val="28"/>
        </w:rPr>
        <w:t xml:space="preserve"> Для волейбола актуальным можно считать прием внутренней стороной стопы и подъемом стопы.</w:t>
      </w:r>
    </w:p>
    <w:p>
      <w:pPr>
        <w:ind w:firstLineChars="261" w:firstLine="731"/>
        <w:jc w:val="both"/>
        <w:spacing w:after="28" w:line="360" w:lineRule="auto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</w:rPr>
        <w:t>Техника выполнения приема  мяча подъемом стопы. Исходное положение – высокая или средняя игровая стойка, опорная нога впереди, стопы параллельны. Вес тела на опорной ноге. Сзади стоящая нога при приеме мяча ударное выполняет движение вперед строго в сагиттальной</w:t>
      </w:r>
      <w:r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 (переднезадней) плоскости.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 подведении к мячу подъем стопы вытянут и напряжен, голень опущена под углом к поверхности земли. Соприкосновение с мячом происходит на расстоянии примерно 20 см от пола. После приема мяча нога выполняет движение назад, переходя в положение игровой стойки.</w:t>
      </w:r>
    </w:p>
    <w:p>
      <w:pPr>
        <w:ind w:firstLineChars="261" w:firstLine="731"/>
        <w:jc w:val="both"/>
        <w:spacing w:after="28" w:line="360" w:lineRule="auto"/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</w:rPr>
        <w:t>Техника выполнения приема  мяча внутренней стороной стопы. Исходное положение – высокая или средняя игровая стойка, опорная нога впереди, стопы параллельны. Вес тела на опорной ноге. Сзади стоящая нога при приеме мяча выполняет движение вперед строго в сагиттальной</w:t>
      </w:r>
      <w:r>
        <w:rPr>
          <w:rFonts w:ascii="Times New Roman" w:eastAsia="Times New Roman" w:hAnsi="Times New Roman" w:cs="Arial"/>
          <w:color w:val="000000"/>
          <w:sz w:val="28"/>
          <w:szCs w:val="28"/>
          <w:shd w:val="clear" w:color="auto" w:fill="FFFFFF"/>
        </w:rPr>
        <w:t xml:space="preserve"> (переднезадней) плоскости, разворачивается наружу в тазобедренном суставе и сгибается в колене. 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При подведении к мячу внутренняя сторона стопы смотрит вверх. Соприкосновение с мячом происходит на расстоянии примерно 20 см от пола. После приема мяча нога выполняет движение назад, переходя в положение игровой стойки.</w:t>
      </w:r>
      <w:r>
        <w:rPr>
          <w:rFonts w:ascii="Times New Roman" w:hAnsi="Times New Roman"/>
          <w:sz w:val="28"/>
        </w:rPr>
        <w:t xml:space="preserve"> Стопа в момент приема мяча напряжена в голеностопном суставе движется параллельно полу.</w:t>
      </w:r>
    </w:p>
    <w:p>
      <w:pPr>
        <w:ind w:firstLineChars="261" w:firstLine="731"/>
        <w:jc w:val="both"/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Обучение начинается с имитации двигательного действия. Затем выполняется касание неподвижного мяча, который держит над землей партнер. Затем прием брошенного сверху мяча партнером (мяч держать на уровне груди двумя руками и отпустить на ногу партнера). </w:t>
      </w:r>
    </w:p>
    <w:p>
      <w:pPr>
        <w:ind w:firstLineChars="261" w:firstLine="731"/>
        <w:jc w:val="both"/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приему мяча подъемом стопы.</w:t>
      </w:r>
    </w:p>
    <w:p>
      <w:pPr>
        <w:ind w:firstLineChars="261" w:firstLine="731"/>
        <w:jc w:val="both"/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Упражнения выполняются в парах, 1 игрок у сетки спиной к ней, 2 игрок напротив на расстоянии 5-6 метров на линии защиты. 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игрок бросает мяч двумя руками снизу 2 игроку на правую стопу   (скорость полета мяча средняя, высота полета в середине траектории около 1м). 2 игрок отбивает мяч подъемом вверх вперед партнеру.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же, но 1 игрок бросает мяч двумя руками снизу за один шаг перед 2 игроком (мяч недолетает шаг до партнера). 2 игрок делает шаг вперед и отбивает мяч подъемом вверх вперед партнеру и возвращается на прежнее место (делает шаг назад).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же, но 1 игрок бросает мяч за два шага перед 2 игроком. 2 игрок делает два шага вперед и отбивает мяч подъемом вверх вперед партнеру и возвращается на прежнее место (делает два шага назад).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игрок выполняет верхнюю передачу мяча 2 игроку на правую стопу, 2 игрок отбивает мяч подъемом вверх вперед партнеру.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 же, что и 2 упражнение, только 1 игрок выполняет верхнюю передачу мяча. Упражнения выполняются в парах, 1 игрок у сетки спиной к ней, 2 игрок напротив на расстоянии 3-4 метров за 3-х метровой линией. 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игрок бросает мяч (скорость полета мяча низкая, высота полета мяча около 50см) двумя руками снизу 2 игроку на правую стопу. 2 игрок отбивает мяч (сила удара по мячу выше средней) подъемом вверх вперед партнеру.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же, что 2 упражнение, но 1 игрок бросает мяч с низкой скоростью, а 2 игрок отбивает мяч с силой выше средней.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же, что 3 упражнение, но 1 игрок бросает мяч с низкой скоростью, а 2 игрок отбивает мяч с силой выше средней.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же, что и 4 упражнение, только 1 игрок выполняет нижнюю передачу.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же, что и 2 упражнение, только 1 игрок выполняет нижнюю передачу мяча.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 игрок выполняет чередующиеся передачи сверху и снизу, а 2 игрок отбивает мяч подъемом стопы. Упражнения выполняются в парах, 1 игрок у сетки спиной к ней, 2 игрок напротив на расстоянии 5-6 метров на линии защиты. 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игрок с силой бросает мяч двумя руками сверху 2 игроку на правую стопу (скорость полета мяча высокая, траектория полета сверху вниз). 2 игрок подставляет под мяч подъем стопы и делает уступающее движение стопой назад.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же, но 1 игрок с силой бросает мяч двумя руками сверху за один шаг перед 2 игроком (мяч недолетает шаг до партнера). 2 игрок делает шаг вперед и подставляет под мяч подъем стопы и делает уступающее движение стопой назад, а затем возвращается на прежнее место (делает шаг назад).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же, но 1 игрок бросает мяч за два шага перед 2 игроком. 2 игрок делает два шага вперед и подставляет под мяч подъем стопы и делает уступающее движение стопой назад, а затем возвращается на прежнее место (делает два шага назад).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 игрок выполняет удар по мячу 2 игроку на правую стопу, 2 игрок отбивает мяч подъемом вверх вперед партнеру.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же, что и 2 упражнение, только 1 игрок выполняет удар по мячу.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 игрок выполняет чередующиеся передачу сверху и удар по мячу, а 2 игрок отбивает мяч подъемом стопы.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 игрок выполняет чередующиеся передачу сверху и удар по мячу, а 2 игрок отбивает мяч подъемом стопы.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 игрок выполняет чередующиеся передачу снизу и удар по мячу, а 2 игрок отбивает мяч подъемом стопы.</w:t>
      </w:r>
    </w:p>
    <w:p>
      <w:pPr>
        <w:pStyle w:val="af3"/>
        <w:ind w:left="566" w:hanging="566"/>
        <w:contextualSpacing w:val="off"/>
        <w:jc w:val="both"/>
        <w:numPr>
          <w:ilvl w:val="0"/>
          <w:numId w:val="1"/>
        </w:numPr>
        <w:spacing w:after="28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игрок выполняет чередующиеся передачи сверху, снизу и удар по мячу, а 2 игрок отбивает мяч подъемом стопы.</w:t>
      </w:r>
    </w:p>
    <w:p>
      <w:pPr>
        <w:ind w:firstLineChars="261" w:firstLine="731"/>
        <w:jc w:val="both"/>
        <w:spacing w:after="28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По такой же методике выполняется обучение приему мяча внутренней стороной правой стопы и внутренней стороной левой стопы, добавляя броски и перемещения в сторону для правой ноги перемещение в право, для левой ноги влево.</w:t>
      </w:r>
    </w:p>
    <w:p>
      <w:pPr>
        <w:ind w:firstLine="709"/>
        <w:autoSpaceDE w:val="off"/>
        <w:autoSpaceDN w:val="off"/>
        <w:jc w:val="both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spacing w:after="160" w:line="259" w:lineRule="auto"/>
        <w:rPr>
          <w:rtl w:val="off"/>
        </w:rPr>
      </w:pPr>
    </w:p>
    <w:p>
      <w:pPr>
        <w:spacing w:after="160" w:line="259" w:lineRule="auto"/>
        <w:rPr>
          <w:rtl w:val="off"/>
        </w:rPr>
      </w:pPr>
    </w:p>
    <w:p>
      <w:pPr>
        <w:spacing w:after="160" w:line="259" w:lineRule="auto"/>
        <w:rPr>
          <w:rtl w:val="off"/>
        </w:rPr>
      </w:pPr>
    </w:p>
    <w:p>
      <w:pPr>
        <w:spacing w:after="160" w:line="259" w:lineRule="auto"/>
        <w:rPr>
          <w:rtl w:val="off"/>
        </w:rPr>
      </w:pPr>
    </w:p>
    <w:p>
      <w:pPr>
        <w:spacing w:after="160" w:line="259" w:lineRule="auto"/>
        <w:rPr>
          <w:rtl w:val="off"/>
        </w:rPr>
      </w:pPr>
    </w:p>
    <w:p>
      <w:pPr>
        <w:spacing w:after="160" w:line="259" w:lineRule="auto"/>
        <w:rPr>
          <w:rtl w:val="off"/>
        </w:rPr>
      </w:pPr>
    </w:p>
    <w:p>
      <w:pPr>
        <w:spacing w:after="160" w:line="259" w:lineRule="auto"/>
        <w:rPr>
          <w:rtl w:val="off"/>
        </w:rPr>
      </w:pPr>
    </w:p>
    <w:p>
      <w:pPr>
        <w:spacing w:after="160" w:line="259" w:lineRule="auto"/>
        <w:rPr>
          <w:rtl w:val="off"/>
        </w:rPr>
      </w:pPr>
    </w:p>
    <w:p>
      <w:pPr>
        <w:pStyle w:val="1"/>
        <w:pageBreakBefore/>
        <w:jc w:val="center"/>
        <w:spacing w:before="0" w:line="360" w:lineRule="auto"/>
        <w:rPr>
          <w:rFonts w:ascii="Times New Roman" w:hAnsi="Times New Roman" w:cs="Times New Roman"/>
          <w:b/>
          <w:color w:val="000000"/>
          <w:sz w:val="28"/>
        </w:rPr>
      </w:pPr>
      <w:bookmarkStart w:id="1" w:name="_Toc57574079"/>
      <w:r>
        <w:rPr>
          <w:rFonts w:ascii="Times New Roman" w:hAnsi="Times New Roman" w:cs="Times New Roman"/>
          <w:b/>
          <w:color w:val="000000"/>
          <w:sz w:val="28"/>
        </w:rPr>
        <w:t xml:space="preserve">ПРАКТИЧЕСКИЕ </w:t>
      </w:r>
      <w:r>
        <w:rPr>
          <w:lang w:eastAsia="ru-RU"/>
          <w:rFonts w:ascii="Times New Roman" w:hAnsi="Times New Roman" w:cs="Times New Roman"/>
          <w:b/>
          <w:color w:val="000000"/>
          <w:sz w:val="28"/>
        </w:rPr>
        <w:t>РЕКОМЕНДАЦИИ</w:t>
      </w:r>
      <w:bookmarkEnd w:id="1"/>
    </w:p>
    <w:p>
      <w:pPr>
        <w:ind w:firstLineChars="261" w:firstLine="731"/>
        <w:jc w:val="both"/>
        <w:spacing w:after="28" w:line="360" w:lineRule="auto"/>
        <w:rPr>
          <w:rFonts w:ascii="Times New Roman" w:hAnsi="Times New Roman"/>
          <w:sz w:val="28"/>
        </w:rPr>
      </w:pPr>
    </w:p>
    <w:p>
      <w:pPr>
        <w:ind w:left="567" w:hanging="567"/>
        <w:jc w:val="both"/>
        <w:numPr>
          <w:ilvl w:val="0"/>
          <w:numId w:val="2"/>
        </w:numPr>
        <w:spacing w:after="28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Обучение техники приема мяча ногой следует начинать с сообщения информации о его значении и месте в игровых условиях в волейболе.</w:t>
      </w:r>
    </w:p>
    <w:p>
      <w:pPr>
        <w:ind w:left="567" w:hanging="567"/>
        <w:jc w:val="both"/>
        <w:numPr>
          <w:ilvl w:val="0"/>
          <w:numId w:val="2"/>
        </w:numPr>
        <w:spacing w:after="28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Наглядный метод обучения сочетать со словесным.</w:t>
      </w:r>
    </w:p>
    <w:p>
      <w:pPr>
        <w:ind w:left="567" w:hanging="567"/>
        <w:jc w:val="both"/>
        <w:numPr>
          <w:ilvl w:val="0"/>
          <w:numId w:val="2"/>
        </w:numPr>
        <w:spacing w:after="28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При показе техники приема мяча ногой  важным является оптимальное воспроизведение временных, пространственных и силовых характеристик движения.</w:t>
      </w:r>
    </w:p>
    <w:p>
      <w:pPr>
        <w:ind w:left="567" w:hanging="567"/>
        <w:jc w:val="both"/>
        <w:numPr>
          <w:ilvl w:val="0"/>
          <w:numId w:val="2"/>
        </w:numPr>
        <w:spacing w:after="28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обучении приему мяча ногой в волейболе следует применять методы целостного упражнения, т.к. расчленение приема на части может привести к резкому искажению его биомеханической структуры.</w:t>
      </w:r>
    </w:p>
    <w:p>
      <w:pPr>
        <w:ind w:left="567" w:hanging="567"/>
        <w:jc w:val="both"/>
        <w:numPr>
          <w:ilvl w:val="0"/>
          <w:numId w:val="2"/>
        </w:numPr>
        <w:spacing w:after="28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Обучение техническим приемам начинается с ведущей ногу и в удобную сторону.</w:t>
      </w:r>
    </w:p>
    <w:p>
      <w:pPr>
        <w:ind w:left="567" w:hanging="567"/>
        <w:jc w:val="both"/>
        <w:numPr>
          <w:ilvl w:val="0"/>
          <w:numId w:val="2"/>
        </w:numPr>
        <w:spacing w:after="28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Одновременно с формированием навыка приема мяча ногой следует развивать быстроту. Это будет способствовать эффективности приема мяча.</w:t>
      </w:r>
    </w:p>
    <w:p>
      <w:pPr>
        <w:ind w:left="567" w:hanging="567"/>
        <w:jc w:val="both"/>
        <w:numPr>
          <w:ilvl w:val="0"/>
          <w:numId w:val="2"/>
        </w:numPr>
        <w:spacing w:after="28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Обучать приему мяча ногой в волейболе можно только после того, как игроки научатся выполнять прием снизу.</w:t>
      </w:r>
    </w:p>
    <w:p>
      <w:pPr>
        <w:spacing w:after="160" w:line="259" w:lineRule="auto"/>
      </w:pPr>
    </w:p>
    <w:sectPr>
      <w:pgSz w:w="11906" w:h="1683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fals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fals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false"/>
    <w:sig w:usb0="E4002EFF" w:usb1="C000247B" w:usb2="00000009" w:usb3="00000001" w:csb0="2000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a7d747a"/>
    <w:multiLevelType w:val="multilevel"/>
    <w:tmpl w:val="b60c9d52"/>
    <w:lvl w:ilvl="0">
      <w:start w:val="1"/>
      <w:lvlText w:val="%1."/>
      <w:lvlJc w:val="left"/>
      <w:pPr>
        <w:ind w:left="720" w:hanging="360"/>
      </w:pPr>
    </w:lvl>
    <w:lvl w:ilvl="1">
      <w:start w:val="2"/>
      <w:lvlText w:val="%1.%2."/>
      <w:lvlJc w:val="left"/>
      <w:isLgl/>
      <w:pPr>
        <w:ind w:left="1080" w:hanging="720"/>
      </w:pPr>
      <w:rPr>
        <w:rFonts w:hint="default"/>
        <w:b/>
      </w:rPr>
    </w:lvl>
    <w:lvl w:ilvl="2">
      <w:start w:val="1"/>
      <w:lvlText w:val="%1.%2.%3."/>
      <w:lvlJc w:val="left"/>
      <w:isLgl/>
      <w:pPr>
        <w:ind w:left="1080" w:hanging="720"/>
      </w:pPr>
      <w:rPr>
        <w:rFonts w:hint="default"/>
        <w:b/>
      </w:rPr>
    </w:lvl>
    <w:lvl w:ilvl="3">
      <w:start w:val="1"/>
      <w:lvlText w:val="%1.%2.%3.%4."/>
      <w:lvlJc w:val="left"/>
      <w:isLgl/>
      <w:pPr>
        <w:ind w:left="1440" w:hanging="1080"/>
      </w:pPr>
      <w:rPr>
        <w:rFonts w:hint="default"/>
        <w:b/>
      </w:rPr>
    </w:lvl>
    <w:lvl w:ilvl="4">
      <w:start w:val="1"/>
      <w:lvlText w:val="%1.%2.%3.%4.%5."/>
      <w:lvlJc w:val="left"/>
      <w:isLgl/>
      <w:pPr>
        <w:ind w:left="1440" w:hanging="1080"/>
      </w:pPr>
      <w:rPr>
        <w:rFonts w:hint="default"/>
        <w:b/>
      </w:rPr>
    </w:lvl>
    <w:lvl w:ilvl="5">
      <w:start w:val="1"/>
      <w:lvlText w:val="%1.%2.%3.%4.%5.%6."/>
      <w:lvlJc w:val="left"/>
      <w:isLgl/>
      <w:pPr>
        <w:ind w:left="1800" w:hanging="1440"/>
      </w:pPr>
      <w:rPr>
        <w:rFonts w:hint="default"/>
        <w:b/>
      </w:rPr>
    </w:lvl>
    <w:lvl w:ilvl="6">
      <w:start w:val="1"/>
      <w:lvlText w:val="%1.%2.%3.%4.%5.%6.%7."/>
      <w:lvlJc w:val="left"/>
      <w:isLgl/>
      <w:pPr>
        <w:ind w:left="2160" w:hanging="1800"/>
      </w:pPr>
      <w:rPr>
        <w:rFonts w:hint="default"/>
        <w:b/>
      </w:rPr>
    </w:lvl>
    <w:lvl w:ilvl="7">
      <w:start w:val="1"/>
      <w:lvlText w:val="%1.%2.%3.%4.%5.%6.%7.%8."/>
      <w:lvlJc w:val="left"/>
      <w:isLgl/>
      <w:pPr>
        <w:ind w:left="2160" w:hanging="1800"/>
      </w:pPr>
      <w:rPr>
        <w:rFonts w:hint="default"/>
        <w:b/>
      </w:rPr>
    </w:lvl>
    <w:lvl w:ilvl="8">
      <w:start w:val="1"/>
      <w:lvlText w:val="%1.%2.%3.%4.%5.%6.%7.%8.%9."/>
      <w:lvlJc w:val="left"/>
      <w:isLgl/>
      <w:pPr>
        <w:ind w:left="2520" w:hanging="2160"/>
      </w:pPr>
      <w:rPr>
        <w:rFonts w:hint="default"/>
        <w:b/>
      </w:rPr>
    </w:lvl>
  </w:abstractNum>
  <w:abstractNum w:abstractNumId="1">
    <w:nsid w:val="2a234647"/>
    <w:multiLevelType w:val="hybridMultilevel"/>
    <w:tmpl w:val="cb003c94"/>
    <w:lvl w:ilvl="0" w:tplc="419000f">
      <w:start w:val="1"/>
      <w:lvlText w:val="%1."/>
      <w:lvlJc w:val="left"/>
      <w:pPr>
        <w:ind w:left="720" w:hanging="360"/>
      </w:p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10"/>
  <w:drawingGridVerticalSpacing w:val="18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Calibri" w:hAnsi="Calibri" w:cs="Calibri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10">
    <w:name w:val="Заголовок 1 Знак"/>
    <w:basedOn w:val="a2"/>
    <w:link w:val="heading 1"/>
    <w:rPr>
      <w:rFonts w:asciiTheme="majorHAnsi" w:eastAsiaTheme="majorEastAsia" w:hAnsiTheme="majorHAnsi" w:cstheme="majorBidi"/>
      <w:color w:val="376092"/>
      <w:sz w:val="32"/>
      <w:szCs w:val="32"/>
    </w:r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1"/>
    <w:next w:val="a1"/>
    <w:link w:val="Заголовок 1 Знак"/>
    <w:qFormat/>
    <w:pPr>
      <w:keepNext/>
      <w:keepLines/>
      <w:outlineLvl w:val="0"/>
      <w:spacing w:after="0" w:before="240"/>
    </w:pPr>
    <w:rPr>
      <w:rFonts w:asciiTheme="majorHAnsi" w:eastAsiaTheme="majorEastAsia" w:hAnsiTheme="majorHAnsi" w:cstheme="majorBidi"/>
      <w:color w:val="376092"/>
      <w:sz w:val="32"/>
      <w:szCs w:val="32"/>
    </w:rPr>
  </w:style>
  <w:style w:type="character" w:styleId="ad">
    <w:name w:val="Strong"/>
    <w:basedOn w:val="a2"/>
    <w:qFormat/>
    <w:rPr>
      <w:b/>
      <w:bCs/>
    </w:rPr>
  </w:style>
  <w:style w:type="paragraph" w:styleId="af3">
    <w:name w:val="List Paragraph"/>
    <w:basedOn w:val="a1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</cp:revision>
  <dcterms:created xsi:type="dcterms:W3CDTF">2021-10-19T06:35:49Z</dcterms:created>
  <dcterms:modified xsi:type="dcterms:W3CDTF">2021-10-19T07:09:07Z</dcterms:modified>
  <cp:version>0900.0100.01</cp:version>
</cp:coreProperties>
</file>