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4E5D" w:rsidRDefault="002E4E5D" w:rsidP="002E4E5D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</w:p>
    <w:p w:rsidR="002E4E5D" w:rsidRDefault="002E4E5D" w:rsidP="002E4E5D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</w:p>
    <w:p w:rsidR="002E4E5D" w:rsidRPr="002E4E5D" w:rsidRDefault="002E4E5D" w:rsidP="002E4E5D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  <w:r w:rsidRPr="002E4E5D">
        <w:rPr>
          <w:rFonts w:ascii="Times New Roman" w:eastAsia="Calibri" w:hAnsi="Times New Roman" w:cs="Times New Roman"/>
          <w:noProof/>
          <w:sz w:val="20"/>
          <w:szCs w:val="20"/>
        </w:rPr>
        <w:drawing>
          <wp:inline distT="0" distB="0" distL="0" distR="0" wp14:anchorId="77644334" wp14:editId="5C7323BD">
            <wp:extent cx="4308612" cy="26212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505" cy="2648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E5D" w:rsidRPr="002E4E5D" w:rsidRDefault="002E4E5D" w:rsidP="002E4E5D">
      <w:pPr>
        <w:spacing w:after="20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E4E5D" w:rsidRPr="002E4E5D" w:rsidRDefault="002E4E5D" w:rsidP="002E4E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40"/>
          <w:szCs w:val="40"/>
        </w:rPr>
      </w:pPr>
      <w:r w:rsidRPr="002E4E5D">
        <w:rPr>
          <w:rFonts w:ascii="Times New Roman" w:eastAsia="Calibri" w:hAnsi="Times New Roman" w:cs="Times New Roman"/>
          <w:b/>
          <w:bCs/>
          <w:iCs/>
          <w:sz w:val="40"/>
          <w:szCs w:val="40"/>
        </w:rPr>
        <w:t>«Танковый бой»</w:t>
      </w:r>
    </w:p>
    <w:p w:rsidR="002E4E5D" w:rsidRPr="002E4E5D" w:rsidRDefault="002E4E5D" w:rsidP="002E4E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40"/>
          <w:szCs w:val="40"/>
        </w:rPr>
      </w:pPr>
      <w:r w:rsidRPr="002E4E5D">
        <w:rPr>
          <w:rFonts w:ascii="Times New Roman" w:eastAsia="Calibri" w:hAnsi="Times New Roman" w:cs="Times New Roman"/>
          <w:b/>
          <w:bCs/>
          <w:iCs/>
          <w:sz w:val="40"/>
          <w:szCs w:val="40"/>
        </w:rPr>
        <w:t>(нестандартные виды игр в урочной и внеурочной деятельности)</w:t>
      </w:r>
    </w:p>
    <w:p w:rsidR="002E4E5D" w:rsidRPr="002E4E5D" w:rsidRDefault="002E4E5D" w:rsidP="002E4E5D">
      <w:pPr>
        <w:spacing w:after="20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2E4E5D" w:rsidRPr="002E4E5D" w:rsidRDefault="002E4E5D" w:rsidP="002E4E5D">
      <w:pPr>
        <w:spacing w:after="120" w:line="240" w:lineRule="auto"/>
        <w:jc w:val="right"/>
        <w:rPr>
          <w:rFonts w:ascii="Palatino Linotype" w:eastAsia="Calibri" w:hAnsi="Palatino Linotype" w:cs="Times New Roman"/>
          <w:sz w:val="30"/>
          <w:szCs w:val="30"/>
        </w:rPr>
      </w:pPr>
      <w:r w:rsidRPr="002E4E5D">
        <w:rPr>
          <w:rFonts w:ascii="Palatino Linotype" w:eastAsia="Calibri" w:hAnsi="Palatino Linotype" w:cs="Times New Roman"/>
          <w:sz w:val="30"/>
          <w:szCs w:val="30"/>
        </w:rPr>
        <w:t>Подготовил:</w:t>
      </w:r>
    </w:p>
    <w:p w:rsidR="002E4E5D" w:rsidRPr="002E4E5D" w:rsidRDefault="002E4E5D" w:rsidP="002E4E5D">
      <w:pPr>
        <w:spacing w:after="120" w:line="240" w:lineRule="auto"/>
        <w:jc w:val="right"/>
        <w:rPr>
          <w:rFonts w:ascii="Palatino Linotype" w:eastAsia="Calibri" w:hAnsi="Palatino Linotype" w:cs="Times New Roman"/>
          <w:sz w:val="30"/>
          <w:szCs w:val="30"/>
        </w:rPr>
      </w:pPr>
      <w:r w:rsidRPr="002E4E5D">
        <w:rPr>
          <w:rFonts w:ascii="Palatino Linotype" w:eastAsia="Calibri" w:hAnsi="Palatino Linotype" w:cs="Times New Roman"/>
          <w:sz w:val="30"/>
          <w:szCs w:val="30"/>
        </w:rPr>
        <w:t>учитель физической культуры</w:t>
      </w:r>
    </w:p>
    <w:p w:rsidR="002E4E5D" w:rsidRPr="002E4E5D" w:rsidRDefault="002E4E5D" w:rsidP="002E4E5D">
      <w:pPr>
        <w:spacing w:after="0" w:line="240" w:lineRule="auto"/>
        <w:jc w:val="right"/>
        <w:rPr>
          <w:rFonts w:ascii="Palatino Linotype" w:eastAsia="Calibri" w:hAnsi="Palatino Linotype" w:cs="Times New Roman"/>
          <w:b/>
          <w:i/>
          <w:sz w:val="30"/>
          <w:szCs w:val="30"/>
        </w:rPr>
      </w:pPr>
      <w:r w:rsidRPr="002E4E5D">
        <w:rPr>
          <w:rFonts w:ascii="Palatino Linotype" w:eastAsia="Calibri" w:hAnsi="Palatino Linotype" w:cs="Times New Roman"/>
          <w:b/>
          <w:i/>
          <w:sz w:val="30"/>
          <w:szCs w:val="30"/>
        </w:rPr>
        <w:t>Ярчинский И.В.</w:t>
      </w:r>
    </w:p>
    <w:p w:rsidR="002E4E5D" w:rsidRPr="002E4E5D" w:rsidRDefault="002E4E5D" w:rsidP="002E4E5D">
      <w:pPr>
        <w:spacing w:after="0" w:line="240" w:lineRule="auto"/>
        <w:rPr>
          <w:rFonts w:ascii="Palatino Linotype" w:eastAsia="Calibri" w:hAnsi="Palatino Linotype" w:cs="Times New Roman"/>
          <w:sz w:val="32"/>
          <w:szCs w:val="20"/>
        </w:rPr>
      </w:pPr>
    </w:p>
    <w:p w:rsidR="002E4E5D" w:rsidRPr="002E4E5D" w:rsidRDefault="002E4E5D" w:rsidP="002E4E5D">
      <w:pPr>
        <w:spacing w:after="0" w:line="240" w:lineRule="auto"/>
        <w:rPr>
          <w:rFonts w:ascii="Palatino Linotype" w:eastAsia="Calibri" w:hAnsi="Palatino Linotype" w:cs="Times New Roman"/>
          <w:sz w:val="32"/>
          <w:szCs w:val="20"/>
        </w:rPr>
      </w:pPr>
    </w:p>
    <w:p w:rsidR="002E4E5D" w:rsidRDefault="002E4E5D" w:rsidP="002E4E5D">
      <w:pPr>
        <w:spacing w:after="0" w:line="240" w:lineRule="auto"/>
        <w:rPr>
          <w:rFonts w:ascii="Palatino Linotype" w:eastAsia="Calibri" w:hAnsi="Palatino Linotype" w:cs="Times New Roman"/>
          <w:sz w:val="32"/>
          <w:szCs w:val="20"/>
        </w:rPr>
      </w:pPr>
    </w:p>
    <w:p w:rsidR="002E4E5D" w:rsidRDefault="002E4E5D" w:rsidP="002E4E5D">
      <w:pPr>
        <w:spacing w:after="0" w:line="240" w:lineRule="auto"/>
        <w:rPr>
          <w:rFonts w:ascii="Palatino Linotype" w:eastAsia="Calibri" w:hAnsi="Palatino Linotype" w:cs="Times New Roman"/>
          <w:sz w:val="32"/>
          <w:szCs w:val="20"/>
        </w:rPr>
      </w:pPr>
    </w:p>
    <w:p w:rsidR="002E4E5D" w:rsidRDefault="002E4E5D" w:rsidP="002E4E5D">
      <w:pPr>
        <w:spacing w:after="0" w:line="240" w:lineRule="auto"/>
        <w:rPr>
          <w:rFonts w:ascii="Palatino Linotype" w:eastAsia="Calibri" w:hAnsi="Palatino Linotype" w:cs="Times New Roman"/>
          <w:sz w:val="32"/>
          <w:szCs w:val="20"/>
        </w:rPr>
      </w:pPr>
    </w:p>
    <w:p w:rsidR="002E4E5D" w:rsidRDefault="002E4E5D" w:rsidP="002E4E5D">
      <w:pPr>
        <w:spacing w:after="0" w:line="240" w:lineRule="auto"/>
        <w:rPr>
          <w:rFonts w:ascii="Palatino Linotype" w:eastAsia="Calibri" w:hAnsi="Palatino Linotype" w:cs="Times New Roman"/>
          <w:sz w:val="32"/>
          <w:szCs w:val="20"/>
        </w:rPr>
      </w:pPr>
    </w:p>
    <w:p w:rsidR="002E4E5D" w:rsidRDefault="002E4E5D" w:rsidP="002E4E5D">
      <w:pPr>
        <w:spacing w:after="0" w:line="240" w:lineRule="auto"/>
        <w:rPr>
          <w:rFonts w:ascii="Palatino Linotype" w:eastAsia="Calibri" w:hAnsi="Palatino Linotype" w:cs="Times New Roman"/>
          <w:sz w:val="32"/>
          <w:szCs w:val="20"/>
        </w:rPr>
      </w:pPr>
    </w:p>
    <w:p w:rsidR="002E4E5D" w:rsidRDefault="002E4E5D" w:rsidP="002E4E5D">
      <w:pPr>
        <w:spacing w:after="0" w:line="240" w:lineRule="auto"/>
        <w:rPr>
          <w:rFonts w:ascii="Palatino Linotype" w:eastAsia="Calibri" w:hAnsi="Palatino Linotype" w:cs="Times New Roman"/>
          <w:sz w:val="32"/>
          <w:szCs w:val="20"/>
        </w:rPr>
      </w:pPr>
    </w:p>
    <w:p w:rsidR="002E4E5D" w:rsidRDefault="002E4E5D" w:rsidP="002E4E5D">
      <w:pPr>
        <w:spacing w:after="0" w:line="240" w:lineRule="auto"/>
        <w:rPr>
          <w:rFonts w:ascii="Palatino Linotype" w:eastAsia="Calibri" w:hAnsi="Palatino Linotype" w:cs="Times New Roman"/>
          <w:sz w:val="32"/>
          <w:szCs w:val="20"/>
        </w:rPr>
      </w:pPr>
    </w:p>
    <w:p w:rsidR="002E4E5D" w:rsidRPr="002E4E5D" w:rsidRDefault="002E4E5D" w:rsidP="002E4E5D">
      <w:pPr>
        <w:spacing w:after="0" w:line="240" w:lineRule="auto"/>
        <w:rPr>
          <w:rFonts w:ascii="Palatino Linotype" w:eastAsia="Calibri" w:hAnsi="Palatino Linotype" w:cs="Times New Roman"/>
          <w:sz w:val="32"/>
          <w:szCs w:val="20"/>
        </w:rPr>
      </w:pPr>
    </w:p>
    <w:p w:rsidR="002E4E5D" w:rsidRPr="002E4E5D" w:rsidRDefault="002E4E5D" w:rsidP="002E4E5D">
      <w:pPr>
        <w:spacing w:after="0" w:line="240" w:lineRule="auto"/>
        <w:rPr>
          <w:rFonts w:ascii="Palatino Linotype" w:eastAsia="Calibri" w:hAnsi="Palatino Linotype" w:cs="Times New Roman"/>
          <w:sz w:val="32"/>
          <w:szCs w:val="20"/>
        </w:rPr>
      </w:pPr>
    </w:p>
    <w:p w:rsidR="002E4E5D" w:rsidRPr="002E4E5D" w:rsidRDefault="002E4E5D" w:rsidP="002E4E5D">
      <w:pPr>
        <w:spacing w:after="0" w:line="240" w:lineRule="auto"/>
        <w:jc w:val="center"/>
        <w:rPr>
          <w:rFonts w:ascii="Palatino Linotype" w:eastAsia="Calibri" w:hAnsi="Palatino Linotype" w:cs="Times New Roman"/>
          <w:b/>
          <w:sz w:val="28"/>
          <w:szCs w:val="20"/>
          <w:lang w:val="en-US"/>
        </w:rPr>
      </w:pPr>
      <w:r w:rsidRPr="002E4E5D">
        <w:rPr>
          <w:rFonts w:ascii="Palatino Linotype" w:eastAsia="Calibri" w:hAnsi="Palatino Linotype" w:cs="Times New Roman"/>
          <w:b/>
          <w:sz w:val="28"/>
          <w:szCs w:val="20"/>
        </w:rPr>
        <w:t>ИРКУТСК 20</w:t>
      </w:r>
      <w:r w:rsidRPr="002E4E5D">
        <w:rPr>
          <w:rFonts w:ascii="Palatino Linotype" w:eastAsia="Calibri" w:hAnsi="Palatino Linotype" w:cs="Times New Roman"/>
          <w:b/>
          <w:sz w:val="28"/>
          <w:szCs w:val="20"/>
          <w:lang w:val="en-US"/>
        </w:rPr>
        <w:t>21</w:t>
      </w:r>
    </w:p>
    <w:p w:rsidR="002E4E5D" w:rsidRDefault="002E4E5D" w:rsidP="002E4E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E4E5D" w:rsidRPr="002E4E5D" w:rsidRDefault="002E4E5D" w:rsidP="002E4E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E4E5D" w:rsidRPr="002E4E5D" w:rsidRDefault="002E4E5D" w:rsidP="002E4E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E4E5D">
        <w:rPr>
          <w:rFonts w:ascii="Times New Roman" w:hAnsi="Times New Roman" w:cs="Times New Roman"/>
          <w:b/>
          <w:sz w:val="28"/>
          <w:szCs w:val="28"/>
        </w:rPr>
        <w:t>Требуемый инвентарь: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•</w:t>
      </w:r>
      <w:r w:rsidRPr="002E4E5D">
        <w:rPr>
          <w:rFonts w:ascii="Times New Roman" w:hAnsi="Times New Roman" w:cs="Times New Roman"/>
          <w:sz w:val="28"/>
          <w:szCs w:val="28"/>
        </w:rPr>
        <w:tab/>
        <w:t>11 обручей;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•</w:t>
      </w:r>
      <w:r w:rsidRPr="002E4E5D">
        <w:rPr>
          <w:rFonts w:ascii="Times New Roman" w:hAnsi="Times New Roman" w:cs="Times New Roman"/>
          <w:sz w:val="28"/>
          <w:szCs w:val="28"/>
        </w:rPr>
        <w:tab/>
        <w:t>1 красный пластиковый шар;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•</w:t>
      </w:r>
      <w:r w:rsidRPr="002E4E5D">
        <w:rPr>
          <w:rFonts w:ascii="Times New Roman" w:hAnsi="Times New Roman" w:cs="Times New Roman"/>
          <w:sz w:val="28"/>
          <w:szCs w:val="28"/>
        </w:rPr>
        <w:tab/>
        <w:t>6 игровых карточек (2 мины, 2 танка, 1 база, 1 саперная лопатка).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E4E5D">
        <w:rPr>
          <w:rFonts w:ascii="Times New Roman" w:hAnsi="Times New Roman" w:cs="Times New Roman"/>
          <w:b/>
          <w:sz w:val="28"/>
          <w:szCs w:val="28"/>
        </w:rPr>
        <w:t>ПРАВИЛА ИГРЫ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1.</w:t>
      </w:r>
      <w:r w:rsidRPr="002E4E5D">
        <w:rPr>
          <w:rFonts w:ascii="Times New Roman" w:hAnsi="Times New Roman" w:cs="Times New Roman"/>
          <w:sz w:val="28"/>
          <w:szCs w:val="28"/>
        </w:rPr>
        <w:tab/>
        <w:t xml:space="preserve">Игровое поле состоит из 11 секторов (1 обруч - 1 сектор); 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2.</w:t>
      </w:r>
      <w:r w:rsidRPr="002E4E5D">
        <w:rPr>
          <w:rFonts w:ascii="Times New Roman" w:hAnsi="Times New Roman" w:cs="Times New Roman"/>
          <w:sz w:val="28"/>
          <w:szCs w:val="28"/>
        </w:rPr>
        <w:tab/>
        <w:t>В игре участвуют 2 команды (по 3-4 человека в каждой): первая команда - нападение (танки), вторая команда - защита (мины);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3.</w:t>
      </w:r>
      <w:r w:rsidRPr="002E4E5D">
        <w:rPr>
          <w:rFonts w:ascii="Times New Roman" w:hAnsi="Times New Roman" w:cs="Times New Roman"/>
          <w:sz w:val="28"/>
          <w:szCs w:val="28"/>
        </w:rPr>
        <w:tab/>
        <w:t>Перед началом игры команды располагаются на стартовой линии, на расстоянии 3-4 метров от игрового поля (для удобства наблюдения за ходом игры и оперативного принятия решений);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4.</w:t>
      </w:r>
      <w:r w:rsidRPr="002E4E5D">
        <w:rPr>
          <w:rFonts w:ascii="Times New Roman" w:hAnsi="Times New Roman" w:cs="Times New Roman"/>
          <w:sz w:val="28"/>
          <w:szCs w:val="28"/>
        </w:rPr>
        <w:tab/>
        <w:t xml:space="preserve">Передвижение игроков внутри каждой команды осуществляется от стартовой линии строго поочередно, не допускается ход следующего игрока команды, пока предыдущий игрок не вернулся на стартовую линию. 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5.</w:t>
      </w:r>
      <w:r w:rsidRPr="002E4E5D">
        <w:rPr>
          <w:rFonts w:ascii="Times New Roman" w:hAnsi="Times New Roman" w:cs="Times New Roman"/>
          <w:sz w:val="28"/>
          <w:szCs w:val="28"/>
        </w:rPr>
        <w:tab/>
        <w:t>У команды нападения в арсенале: 2 карточки с изображением танков (малый танк и большой танк, радиус стрельбы - 1 и 2 сектора соответственно), 1 пластиковый красный шар (для стрельбы), 1 карточка с изображением саперной лопатки (для разминирования мин); у команды защиты: 2 карточки с изображением мин (+ карточка с изображением базы (по умолчанию));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6.</w:t>
      </w:r>
      <w:r w:rsidRPr="002E4E5D">
        <w:rPr>
          <w:rFonts w:ascii="Times New Roman" w:hAnsi="Times New Roman" w:cs="Times New Roman"/>
          <w:sz w:val="28"/>
          <w:szCs w:val="28"/>
        </w:rPr>
        <w:tab/>
        <w:t>Задача команды нападения - разрушить базу команды соперника, задача команды защиты - подорвать танки команды соперника, тем самым, защитив свою базу;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7.</w:t>
      </w:r>
      <w:r w:rsidRPr="002E4E5D">
        <w:rPr>
          <w:rFonts w:ascii="Times New Roman" w:hAnsi="Times New Roman" w:cs="Times New Roman"/>
          <w:sz w:val="28"/>
          <w:szCs w:val="28"/>
        </w:rPr>
        <w:tab/>
        <w:t>Каждая из команд может выполнить только одно действие за один ход, перемещать разрешается только карточки своей команды (за исключением ситуации разминирования игрового сектора – см. пункт 9), длина хода карточек составляет один свободный сектор за один ход (только по горизонтали и вертикали), как и длина хода при атаке на команду соперника;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8.</w:t>
      </w:r>
      <w:r w:rsidRPr="002E4E5D">
        <w:rPr>
          <w:rFonts w:ascii="Times New Roman" w:hAnsi="Times New Roman" w:cs="Times New Roman"/>
          <w:sz w:val="28"/>
          <w:szCs w:val="28"/>
        </w:rPr>
        <w:tab/>
        <w:t xml:space="preserve">Карточки с изображением танков перед началом игры расположены непосредственно в игровом поле </w:t>
      </w:r>
      <w:r w:rsidRPr="002E4E5D">
        <w:rPr>
          <w:rFonts w:ascii="Times New Roman" w:hAnsi="Times New Roman" w:cs="Times New Roman"/>
          <w:b/>
          <w:i/>
          <w:sz w:val="28"/>
          <w:szCs w:val="28"/>
        </w:rPr>
        <w:t>(см. рис. 1).</w:t>
      </w:r>
      <w:r w:rsidRPr="002E4E5D">
        <w:rPr>
          <w:rFonts w:ascii="Times New Roman" w:hAnsi="Times New Roman" w:cs="Times New Roman"/>
          <w:sz w:val="28"/>
          <w:szCs w:val="28"/>
        </w:rPr>
        <w:t xml:space="preserve"> Крайний нижний левый сектор игрового поля – «база» команды нападения – он </w:t>
      </w:r>
      <w:proofErr w:type="spellStart"/>
      <w:r w:rsidRPr="002E4E5D">
        <w:rPr>
          <w:rFonts w:ascii="Times New Roman" w:hAnsi="Times New Roman" w:cs="Times New Roman"/>
          <w:sz w:val="28"/>
          <w:szCs w:val="28"/>
        </w:rPr>
        <w:t>неприкасаем</w:t>
      </w:r>
      <w:proofErr w:type="spellEnd"/>
      <w:r w:rsidRPr="002E4E5D">
        <w:rPr>
          <w:rFonts w:ascii="Times New Roman" w:hAnsi="Times New Roman" w:cs="Times New Roman"/>
          <w:sz w:val="28"/>
          <w:szCs w:val="28"/>
        </w:rPr>
        <w:t xml:space="preserve"> для команды защиты (игроки команды защиты не имеют права подрывать любой находящийся там танк). Изначально на «базе» располагается большой танк;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9.</w:t>
      </w:r>
      <w:r w:rsidRPr="002E4E5D">
        <w:rPr>
          <w:rFonts w:ascii="Times New Roman" w:hAnsi="Times New Roman" w:cs="Times New Roman"/>
          <w:sz w:val="28"/>
          <w:szCs w:val="28"/>
        </w:rPr>
        <w:tab/>
        <w:t>Крайний правый нижний сектор - изначально пустой. Он является неприкасаемым для команды нападения, то есть нельзя разминировать этот сектор, если в нем находится мина.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lastRenderedPageBreak/>
        <w:t>10.</w:t>
      </w:r>
      <w:r w:rsidRPr="002E4E5D">
        <w:rPr>
          <w:rFonts w:ascii="Times New Roman" w:hAnsi="Times New Roman" w:cs="Times New Roman"/>
          <w:sz w:val="28"/>
          <w:szCs w:val="28"/>
        </w:rPr>
        <w:tab/>
        <w:t>В случае успешной атаки на танк, соответствующие карточки с изображением танка и мины выбывают из игры до конца партии; если оба танка подорваны, команда защиты побеждает;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11.</w:t>
      </w:r>
      <w:r w:rsidRPr="002E4E5D">
        <w:rPr>
          <w:rFonts w:ascii="Times New Roman" w:hAnsi="Times New Roman" w:cs="Times New Roman"/>
          <w:sz w:val="28"/>
          <w:szCs w:val="28"/>
        </w:rPr>
        <w:tab/>
        <w:t>Процесс «разминирования» осуществляется следующим образом: игрок команды нападения, держа в руке карточку с изображением саперной лопатки, подбегает к выбранному сектору с миной и убирает карточку с изображением мины за пределы этого сектора рядом с ним. Саперную лопатку разрешается использовать неограниченное количество раз, и в ходе игры производить «разминирование» любого сектора, независимо от местоположения мины (один сектор за один ход!). Игроки команды защиты могут забрать карту мины и использовать ее дальше в игре, предварительно вернувшись к стартовой линии, начиная ход с того сектора, где произошло разминирование, при условии, если сектор не будет занят раньше танком соперника (в таком случае, карта с изображением мины располагается в любом соседнем секторе от места разминирования);</w:t>
      </w:r>
    </w:p>
    <w:p w:rsidR="002E4E5D" w:rsidRP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12.</w:t>
      </w:r>
      <w:r w:rsidRPr="002E4E5D">
        <w:rPr>
          <w:rFonts w:ascii="Times New Roman" w:hAnsi="Times New Roman" w:cs="Times New Roman"/>
          <w:sz w:val="28"/>
          <w:szCs w:val="28"/>
        </w:rPr>
        <w:tab/>
        <w:t>Атака на базу команды защиты производится в тот момент, когда танк находится по горизонтали напротив базы (большой танк – на расстоянии 2 секторов, считая и игровой сектор с базой, малый танк - 1 сектора). В данной ситуации, следующий игрок команды нападения бежит от линии старта с красным шаром до сектора с базой и располагает его в сектор с изображением базы, тем самым заканчивая игровую партию. Если команды защиты успевает подорвать танк до того, как красный шар окажется в секторе базы, то игрок нападения с шаром в руках возвращается обратно в свою команду.</w:t>
      </w:r>
    </w:p>
    <w:p w:rsidR="002E4E5D" w:rsidRDefault="002E4E5D" w:rsidP="002E4E5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4E5D">
        <w:rPr>
          <w:rFonts w:ascii="Times New Roman" w:hAnsi="Times New Roman" w:cs="Times New Roman"/>
          <w:sz w:val="28"/>
          <w:szCs w:val="28"/>
        </w:rPr>
        <w:t>13.</w:t>
      </w:r>
      <w:r w:rsidRPr="002E4E5D">
        <w:rPr>
          <w:rFonts w:ascii="Times New Roman" w:hAnsi="Times New Roman" w:cs="Times New Roman"/>
          <w:sz w:val="28"/>
          <w:szCs w:val="28"/>
        </w:rPr>
        <w:tab/>
        <w:t xml:space="preserve">Общая схема расположения карточек на игровом поле изображена на </w:t>
      </w:r>
      <w:r w:rsidRPr="002E4E5D">
        <w:rPr>
          <w:rFonts w:ascii="Times New Roman" w:hAnsi="Times New Roman" w:cs="Times New Roman"/>
          <w:b/>
          <w:i/>
          <w:sz w:val="28"/>
          <w:szCs w:val="28"/>
        </w:rPr>
        <w:t>рис.1</w:t>
      </w:r>
    </w:p>
    <w:p w:rsid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4E5D" w:rsidRDefault="002E4E5D" w:rsidP="002E4E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4E5D" w:rsidRDefault="002E4E5D" w:rsidP="002E4E5D">
      <w:pPr>
        <w:jc w:val="center"/>
        <w:rPr>
          <w:rFonts w:ascii="Times New Roman" w:eastAsia="Calibri" w:hAnsi="Times New Roman" w:cs="Times New Roman"/>
          <w:b/>
          <w:noProof/>
          <w:sz w:val="28"/>
          <w:szCs w:val="28"/>
        </w:rPr>
      </w:pPr>
      <w:r w:rsidRPr="002E4E5D">
        <w:rPr>
          <w:rFonts w:ascii="Times New Roman" w:eastAsia="Calibri" w:hAnsi="Times New Roman" w:cs="Times New Roman"/>
          <w:b/>
          <w:noProof/>
          <w:sz w:val="28"/>
          <w:szCs w:val="28"/>
        </w:rPr>
        <w:lastRenderedPageBreak/>
        <w:t>Приложение</w:t>
      </w:r>
    </w:p>
    <w:p w:rsidR="002E4E5D" w:rsidRDefault="002E4E5D" w:rsidP="002E4E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noProof/>
          <w:sz w:val="24"/>
          <w:szCs w:val="24"/>
        </w:rPr>
        <w:drawing>
          <wp:inline distT="0" distB="0" distL="0" distR="0" wp14:anchorId="737492CD" wp14:editId="5A30CA04">
            <wp:extent cx="5688693" cy="2922485"/>
            <wp:effectExtent l="133350" t="95250" r="121920" b="8763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315" cy="297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2E4E5D" w:rsidRPr="002E4E5D" w:rsidRDefault="002E4E5D" w:rsidP="002E4E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4E5D">
        <w:rPr>
          <w:rFonts w:ascii="Times New Roman" w:hAnsi="Times New Roman" w:cs="Times New Roman"/>
          <w:b/>
          <w:sz w:val="28"/>
          <w:szCs w:val="28"/>
        </w:rPr>
        <w:t>Рис.1 Общий план игрового поля</w:t>
      </w:r>
    </w:p>
    <w:p w:rsidR="002E4E5D" w:rsidRDefault="002E4E5D" w:rsidP="002E4E5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E4E5D" w:rsidRDefault="002E4E5D" w:rsidP="002E4E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92ACD2B" wp14:editId="5A0DDBFD">
            <wp:extent cx="3584366" cy="1588135"/>
            <wp:effectExtent l="57150" t="95250" r="54610" b="1206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992" cy="1608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2DFEAD8" wp14:editId="234145EC">
            <wp:extent cx="1684020" cy="1520229"/>
            <wp:effectExtent l="76200" t="95250" r="68580" b="9906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155" cy="15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E52A693" wp14:editId="03CD1878">
            <wp:extent cx="1874520" cy="1699428"/>
            <wp:effectExtent l="76200" t="95250" r="68580" b="914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775" cy="1724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3925A3F" wp14:editId="409CF203">
            <wp:extent cx="3261360" cy="1679959"/>
            <wp:effectExtent l="95250" t="95250" r="91440" b="920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288" cy="1727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2E4E5D" w:rsidRDefault="002E4E5D" w:rsidP="002E4E5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4E5D" w:rsidRPr="002E4E5D" w:rsidRDefault="002E4E5D" w:rsidP="002E4E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Рис. 2 Игровые карточки</w:t>
      </w:r>
    </w:p>
    <w:sectPr w:rsidR="002E4E5D" w:rsidRPr="002E4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E5D"/>
    <w:rsid w:val="002E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2EF0B"/>
  <w15:chartTrackingRefBased/>
  <w15:docId w15:val="{7BE6AE20-EA2A-4EE9-862A-2B3028731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590</Words>
  <Characters>3364</Characters>
  <Application>Microsoft Office Word</Application>
  <DocSecurity>0</DocSecurity>
  <Lines>28</Lines>
  <Paragraphs>7</Paragraphs>
  <ScaleCrop>false</ScaleCrop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Yarchinskiy</dc:creator>
  <cp:keywords/>
  <dc:description/>
  <cp:lastModifiedBy>Yarchinskiy</cp:lastModifiedBy>
  <cp:revision>1</cp:revision>
  <dcterms:created xsi:type="dcterms:W3CDTF">2021-09-19T07:08:00Z</dcterms:created>
  <dcterms:modified xsi:type="dcterms:W3CDTF">2021-09-19T07:13:00Z</dcterms:modified>
</cp:coreProperties>
</file>