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15D" w:rsidRDefault="001F015D"/>
    <w:p w:rsidR="005E753D" w:rsidRDefault="005E753D" w:rsidP="005E75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E753D">
        <w:rPr>
          <w:rFonts w:ascii="Times New Roman" w:hAnsi="Times New Roman" w:cs="Times New Roman"/>
          <w:b/>
          <w:i/>
        </w:rPr>
        <w:t xml:space="preserve">                                                </w:t>
      </w:r>
      <w:r>
        <w:rPr>
          <w:rFonts w:ascii="Times New Roman" w:hAnsi="Times New Roman" w:cs="Times New Roman"/>
          <w:b/>
          <w:i/>
        </w:rPr>
        <w:t xml:space="preserve">                            </w:t>
      </w:r>
      <w:r w:rsidRPr="005E753D">
        <w:rPr>
          <w:rFonts w:ascii="Times New Roman" w:hAnsi="Times New Roman" w:cs="Times New Roman"/>
          <w:b/>
          <w:i/>
        </w:rPr>
        <w:t xml:space="preserve">          </w:t>
      </w:r>
      <w:r>
        <w:rPr>
          <w:rFonts w:ascii="Times New Roman" w:hAnsi="Times New Roman" w:cs="Times New Roman"/>
          <w:b/>
          <w:i/>
        </w:rPr>
        <w:t xml:space="preserve">  </w:t>
      </w:r>
      <w:r w:rsidRPr="005E753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5E753D">
        <w:rPr>
          <w:rFonts w:ascii="Times New Roman" w:hAnsi="Times New Roman" w:cs="Times New Roman"/>
          <w:b/>
          <w:i/>
          <w:sz w:val="28"/>
          <w:szCs w:val="28"/>
        </w:rPr>
        <w:t>Бизимова</w:t>
      </w:r>
      <w:proofErr w:type="spellEnd"/>
      <w:r w:rsidRPr="005E75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5E753D">
        <w:rPr>
          <w:rFonts w:ascii="Times New Roman" w:hAnsi="Times New Roman" w:cs="Times New Roman"/>
          <w:b/>
          <w:i/>
          <w:sz w:val="28"/>
          <w:szCs w:val="28"/>
        </w:rPr>
        <w:t>адежда Александровна</w:t>
      </w:r>
    </w:p>
    <w:p w:rsidR="005E753D" w:rsidRDefault="005E753D" w:rsidP="005E75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воспитатель МКДОУ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/с №2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тулово</w:t>
      </w:r>
      <w:proofErr w:type="spellEnd"/>
    </w:p>
    <w:p w:rsidR="005E753D" w:rsidRDefault="005E753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Слободского района</w:t>
      </w:r>
    </w:p>
    <w:p w:rsidR="005E753D" w:rsidRDefault="005E753D" w:rsidP="00296E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753D">
        <w:rPr>
          <w:rFonts w:ascii="Times New Roman" w:hAnsi="Times New Roman" w:cs="Times New Roman"/>
          <w:b/>
          <w:sz w:val="28"/>
          <w:szCs w:val="28"/>
        </w:rPr>
        <w:t xml:space="preserve">Развитие восприятия цвета у детей </w:t>
      </w:r>
      <w:r w:rsidR="00787503">
        <w:rPr>
          <w:rFonts w:ascii="Times New Roman" w:hAnsi="Times New Roman" w:cs="Times New Roman"/>
          <w:b/>
          <w:sz w:val="28"/>
          <w:szCs w:val="28"/>
        </w:rPr>
        <w:t xml:space="preserve">среднего </w:t>
      </w:r>
      <w:r w:rsidRPr="005E753D">
        <w:rPr>
          <w:rFonts w:ascii="Times New Roman" w:hAnsi="Times New Roman" w:cs="Times New Roman"/>
          <w:b/>
          <w:sz w:val="28"/>
          <w:szCs w:val="28"/>
        </w:rPr>
        <w:t>дошкольного возраста через использование дидактического материала</w:t>
      </w:r>
    </w:p>
    <w:p w:rsidR="005E753D" w:rsidRDefault="005E753D" w:rsidP="00296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Сенсорное развитие ребенка – буквально с первых дней его жизни является залогом успешного осуществления разных видов деятельности, формирования различных способностей. Именно поэтому так важно, чтобы сенсорное воспитание планомерно и систематически включалось вовсе  моменты жизни ребенка, прежде всего в процессы познания окружающей жизни: предметов, свойств и качеств (форма, строение, величина, цвет и т.п.). Развитие восприятия цвета в разные возрастные периоды имеет свои особенности. В средней группе детского сада дети продолжают совершенствовать основные цвета, запоминать названия других цветов. Полученные представления о цветах они применяют при выполнении заданий, требующих определения цвета различных предметов по признаку цвета (группировка одного и того же цвета). С детьми проводят игры для формирования представлений о свойствах предметов, совершенствуя умение сравнивать предметы по внешним признакам, группировать. Составлять целое из частей (кубики, мозаика,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Совершенствовать тактильные, слуховые, вкусовые ощущения детей</w:t>
      </w:r>
      <w:r w:rsidR="00787503">
        <w:rPr>
          <w:rFonts w:ascii="Times New Roman" w:hAnsi="Times New Roman" w:cs="Times New Roman"/>
          <w:sz w:val="28"/>
          <w:szCs w:val="28"/>
        </w:rPr>
        <w:t xml:space="preserve"> о цветах (проводится работа в виде игр, упражнений.</w:t>
      </w:r>
      <w:proofErr w:type="gramEnd"/>
      <w:r w:rsidR="00787503">
        <w:rPr>
          <w:rFonts w:ascii="Times New Roman" w:hAnsi="Times New Roman" w:cs="Times New Roman"/>
          <w:sz w:val="28"/>
          <w:szCs w:val="28"/>
        </w:rPr>
        <w:t xml:space="preserve"> Целью моей работы явилось изучение возможности использования дидактических игр, как средства формирования  представлений о сенсорных эталонах цвета у детей среднего дошкольного возраста. </w:t>
      </w:r>
    </w:p>
    <w:p w:rsidR="00787503" w:rsidRDefault="00787503" w:rsidP="00296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практической деятельности с детьми использовала следующие дидактические игры: «Цветок с секретом», «Открой свой домик», «Собери капельки в стакан»,  «Сложи пирамидку», «Подбери шарик», «Воздушные шары», «Собери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«Украсим елочку», «Подбери предметы похожего цвета», «Спрячь мышку» и др. Кроме того, использую в своей работе подвижные игры на развитие цветового восприятия: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«Подбери пару», «Цветная карусель», «Бегите ко мне», «Стрелка, стрелка, покружись», «Живое домино» и др. </w:t>
      </w:r>
      <w:proofErr w:type="gramEnd"/>
    </w:p>
    <w:p w:rsidR="00787503" w:rsidRDefault="00787503" w:rsidP="00296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 игры построены на словах и действиях играющих. В таких играх дети учатся, опираясь на имеющиеся представления о предметах выделять характерные признаки, отгадывать по описанию предмет: «Лебедушка», «Помоги рыбкам», «Подбери предметы похожего цвета», «Какие шарики улетели?».</w:t>
      </w:r>
    </w:p>
    <w:p w:rsidR="00787503" w:rsidRDefault="00787503" w:rsidP="00296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Закрепляя умение воспринимать целостное изображение предмета, слуховое восприятие играли с детьми в игры: «Узнай по звуку», «Мишка и зайчик», «Кто там?», «Найди картинку!».</w:t>
      </w:r>
    </w:p>
    <w:p w:rsidR="00296EC8" w:rsidRDefault="00296EC8" w:rsidP="00296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мы учились с ребятами определять предметы по величине с помощью игр: «Спрячь в ладошке», «Накрой платком», «Покормим кукол», «Большие и маленькие кубики».</w:t>
      </w:r>
    </w:p>
    <w:p w:rsidR="00296EC8" w:rsidRDefault="00296EC8" w:rsidP="00296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  о том, что самостоятельная игровая деятельность осуществляется лишь  в том случае если эти правила детьми усвоены. Роль взрослого заключается в том, чтобы у детей было в запасе много таких игр, в которые они играют  сами. Это поможет эмоционально воспринимать и осознавать игровые образы, понимать их эстетический характер, способствовать развитию образного мышления, воображения. </w:t>
      </w:r>
    </w:p>
    <w:p w:rsidR="00296EC8" w:rsidRPr="005E753D" w:rsidRDefault="00296EC8" w:rsidP="00296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работа в этом направлении еще не закончена. </w:t>
      </w:r>
      <w:r w:rsidR="000A50AE">
        <w:rPr>
          <w:rFonts w:ascii="Times New Roman" w:hAnsi="Times New Roman" w:cs="Times New Roman"/>
          <w:sz w:val="28"/>
          <w:szCs w:val="28"/>
        </w:rPr>
        <w:t>Мы будем продолжать расширять представления о цветовой палитре предметов, оттенков цветов, внедряя разнообразные игры в различные виды деятельности.</w:t>
      </w:r>
    </w:p>
    <w:sectPr w:rsidR="00296EC8" w:rsidRPr="005E753D" w:rsidSect="0029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753D"/>
    <w:rsid w:val="000A50AE"/>
    <w:rsid w:val="001F015D"/>
    <w:rsid w:val="00296EC8"/>
    <w:rsid w:val="005E753D"/>
    <w:rsid w:val="00787503"/>
    <w:rsid w:val="00A33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2021-02-15T06:05:00Z</dcterms:created>
  <dcterms:modified xsi:type="dcterms:W3CDTF">2021-02-15T06:38:00Z</dcterms:modified>
</cp:coreProperties>
</file>